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2914" w14:textId="0CCC4941" w:rsidR="00D67E9E" w:rsidRPr="00192059" w:rsidRDefault="00192059" w:rsidP="00192059">
      <w:pPr>
        <w:spacing w:after="0"/>
        <w:jc w:val="center"/>
        <w:rPr>
          <w:b/>
          <w:bCs/>
        </w:rPr>
      </w:pPr>
      <w:r w:rsidRPr="00192059">
        <w:rPr>
          <w:b/>
          <w:bCs/>
        </w:rPr>
        <w:t xml:space="preserve">US </w:t>
      </w:r>
      <w:r w:rsidR="00C956A3">
        <w:rPr>
          <w:b/>
          <w:bCs/>
        </w:rPr>
        <w:t>Export Controls</w:t>
      </w:r>
      <w:r w:rsidRPr="00192059">
        <w:rPr>
          <w:b/>
          <w:bCs/>
        </w:rPr>
        <w:t xml:space="preserve"> FAQ</w:t>
      </w:r>
    </w:p>
    <w:p w14:paraId="61C25100" w14:textId="1298C88E" w:rsidR="00192059" w:rsidRDefault="00192059" w:rsidP="000555F3">
      <w:pPr>
        <w:spacing w:after="0"/>
        <w:jc w:val="both"/>
      </w:pPr>
    </w:p>
    <w:p w14:paraId="0A52ADDB" w14:textId="32DFF0C6" w:rsidR="001E40DE" w:rsidRPr="001E40DE" w:rsidRDefault="001E40DE" w:rsidP="000555F3">
      <w:pPr>
        <w:spacing w:after="0"/>
        <w:jc w:val="both"/>
        <w:rPr>
          <w:b/>
          <w:bCs/>
        </w:rPr>
      </w:pPr>
      <w:bookmarkStart w:id="0" w:name="Background"/>
      <w:r w:rsidRPr="001E40DE">
        <w:rPr>
          <w:b/>
          <w:bCs/>
        </w:rPr>
        <w:t>Background</w:t>
      </w:r>
    </w:p>
    <w:bookmarkEnd w:id="0"/>
    <w:p w14:paraId="5424B9F7" w14:textId="1C09E16C" w:rsidR="001E40DE" w:rsidRDefault="001E40DE" w:rsidP="000555F3">
      <w:pPr>
        <w:spacing w:after="0"/>
        <w:jc w:val="both"/>
      </w:pPr>
    </w:p>
    <w:p w14:paraId="4219A7CD" w14:textId="24083079" w:rsidR="001E40DE" w:rsidRDefault="00513CD2" w:rsidP="00513CD2">
      <w:pPr>
        <w:spacing w:after="0"/>
        <w:ind w:firstLine="720"/>
        <w:jc w:val="both"/>
      </w:pPr>
      <w:r>
        <w:t xml:space="preserve">The Open Research Institute (“ORI”) </w:t>
      </w:r>
      <w:r w:rsidR="00443062">
        <w:t xml:space="preserve">is committed to compliance with U.S. export control laws, </w:t>
      </w:r>
      <w:proofErr w:type="gramStart"/>
      <w:r w:rsidR="00443062">
        <w:t>regulations</w:t>
      </w:r>
      <w:proofErr w:type="gramEnd"/>
      <w:r w:rsidR="00443062">
        <w:t xml:space="preserve"> and requirements. From time to time, ORI receives </w:t>
      </w:r>
      <w:r>
        <w:t xml:space="preserve">questions regarding whether </w:t>
      </w:r>
      <w:r w:rsidR="00443062">
        <w:t>information published on our web site and related repositories</w:t>
      </w:r>
      <w:r w:rsidR="00AA6161">
        <w:t xml:space="preserve"> </w:t>
      </w:r>
      <w:r w:rsidR="00254B92">
        <w:t>is</w:t>
      </w:r>
      <w:r>
        <w:t xml:space="preserve"> subject to</w:t>
      </w:r>
      <w:r w:rsidR="00254B92">
        <w:t xml:space="preserve"> either </w:t>
      </w:r>
      <w:r>
        <w:t>the International Traffic in Arms Regulation</w:t>
      </w:r>
      <w:r w:rsidR="00311A4B">
        <w:t>s</w:t>
      </w:r>
      <w:r w:rsidR="00443062">
        <w:t xml:space="preserve"> (“ITAR”)</w:t>
      </w:r>
      <w:r>
        <w:t xml:space="preserve">, or </w:t>
      </w:r>
      <w:r w:rsidR="00C419FC">
        <w:t xml:space="preserve">the </w:t>
      </w:r>
      <w:r>
        <w:t>Export Administration Regulations</w:t>
      </w:r>
      <w:r w:rsidR="00443062">
        <w:t xml:space="preserve"> (“EAR”)</w:t>
      </w:r>
      <w:r>
        <w:t>.</w:t>
      </w:r>
      <w:r w:rsidR="00254B92">
        <w:t xml:space="preserve"> </w:t>
      </w:r>
      <w:r w:rsidR="00443062">
        <w:t xml:space="preserve">The purpose of this FAQ is to communicate </w:t>
      </w:r>
      <w:r w:rsidR="00254B92">
        <w:t xml:space="preserve">ORI’s </w:t>
      </w:r>
      <w:r w:rsidR="00443062">
        <w:t xml:space="preserve">understanding </w:t>
      </w:r>
      <w:r w:rsidR="00254B92">
        <w:t xml:space="preserve">that its </w:t>
      </w:r>
      <w:r w:rsidR="00AA6161">
        <w:t>D</w:t>
      </w:r>
      <w:r w:rsidR="00254B92">
        <w:t xml:space="preserve">ata for </w:t>
      </w:r>
      <w:r w:rsidR="00AA6161">
        <w:t>D</w:t>
      </w:r>
      <w:r w:rsidR="00254B92">
        <w:t>igital microwave broadband communications system</w:t>
      </w:r>
      <w:r w:rsidR="00443062">
        <w:t>s</w:t>
      </w:r>
      <w:r w:rsidR="00254B92">
        <w:t xml:space="preserve"> for space and terrestrial amateur radio use</w:t>
      </w:r>
      <w:r w:rsidR="00610162">
        <w:t xml:space="preserve"> (“Data”)</w:t>
      </w:r>
      <w:r w:rsidR="00254B92">
        <w:t>, is not subject to U.S. export control laws.</w:t>
      </w:r>
    </w:p>
    <w:p w14:paraId="7D2EC643" w14:textId="06790356" w:rsidR="00254B92" w:rsidRDefault="00254B92" w:rsidP="00513CD2">
      <w:pPr>
        <w:spacing w:after="0"/>
        <w:ind w:firstLine="720"/>
        <w:jc w:val="both"/>
      </w:pPr>
    </w:p>
    <w:p w14:paraId="3F524CB2" w14:textId="5F0CC85F" w:rsidR="00254B92" w:rsidRDefault="00254B92" w:rsidP="00513CD2">
      <w:pPr>
        <w:spacing w:after="0"/>
        <w:ind w:firstLine="720"/>
        <w:jc w:val="both"/>
      </w:pPr>
      <w:proofErr w:type="gramStart"/>
      <w:r>
        <w:t>In order to</w:t>
      </w:r>
      <w:proofErr w:type="gramEnd"/>
      <w:r>
        <w:t xml:space="preserve"> confirm </w:t>
      </w:r>
      <w:r w:rsidR="00443062">
        <w:t>its</w:t>
      </w:r>
      <w:r w:rsidR="00AA6161">
        <w:t xml:space="preserve"> </w:t>
      </w:r>
      <w:r w:rsidR="00443062">
        <w:t>understanding</w:t>
      </w:r>
      <w:r>
        <w:t xml:space="preserve">, </w:t>
      </w:r>
      <w:r w:rsidR="00273CD4">
        <w:t>ORI</w:t>
      </w:r>
      <w:r>
        <w:t xml:space="preserve"> submitted a series of requests</w:t>
      </w:r>
      <w:r w:rsidR="00C419FC">
        <w:t xml:space="preserve"> </w:t>
      </w:r>
      <w:r>
        <w:t>to the U</w:t>
      </w:r>
      <w:r w:rsidR="002917A6">
        <w:t>.</w:t>
      </w:r>
      <w:r>
        <w:t>S</w:t>
      </w:r>
      <w:r w:rsidR="002917A6">
        <w:t>.</w:t>
      </w:r>
      <w:r>
        <w:t xml:space="preserve"> Government, including a Commodity Jurisdiction</w:t>
      </w:r>
      <w:r w:rsidR="00627DB7">
        <w:t xml:space="preserve"> (“CJ”)</w:t>
      </w:r>
      <w:r>
        <w:t xml:space="preserve"> request to the </w:t>
      </w:r>
      <w:r w:rsidR="00DB4309">
        <w:t>State Department</w:t>
      </w:r>
      <w:r>
        <w:t xml:space="preserve">, a Commodity Classification Request </w:t>
      </w:r>
      <w:r w:rsidR="00934854">
        <w:t xml:space="preserve">(“CCR”) </w:t>
      </w:r>
      <w:r>
        <w:t xml:space="preserve">to the </w:t>
      </w:r>
      <w:r w:rsidR="00DB4309">
        <w:t>Commerce Department</w:t>
      </w:r>
      <w:r>
        <w:t xml:space="preserve">, and an Advisory Opinion to the </w:t>
      </w:r>
      <w:r w:rsidR="00DB4309">
        <w:t>Commerce Department</w:t>
      </w:r>
      <w:r w:rsidR="00273CD4">
        <w:t xml:space="preserve">. </w:t>
      </w:r>
      <w:r w:rsidR="00443062">
        <w:t>We also reviewed t</w:t>
      </w:r>
      <w:r w:rsidR="00904DB2">
        <w:t xml:space="preserve">he Information </w:t>
      </w:r>
      <w:r w:rsidR="00946AD1">
        <w:t>or</w:t>
      </w:r>
      <w:r w:rsidR="00904DB2">
        <w:t xml:space="preserve"> Informational Materials Exception </w:t>
      </w:r>
      <w:r w:rsidR="0014464F">
        <w:t xml:space="preserve">codified in the so-called Berman Amendment </w:t>
      </w:r>
      <w:r w:rsidR="00904DB2">
        <w:t xml:space="preserve">to the International Emergency Economic Powers Act </w:t>
      </w:r>
      <w:r w:rsidR="00B00015">
        <w:t>(“IEEPA”)</w:t>
      </w:r>
      <w:r w:rsidR="00B654EA">
        <w:t xml:space="preserve"> and</w:t>
      </w:r>
      <w:r w:rsidR="00B00015">
        <w:t xml:space="preserve"> </w:t>
      </w:r>
      <w:r w:rsidR="00B654EA">
        <w:t xml:space="preserve">the Trading with the Enemy Act (“TWEA”) </w:t>
      </w:r>
      <w:r w:rsidR="00CA65E5">
        <w:t>by</w:t>
      </w:r>
      <w:r w:rsidR="00904DB2">
        <w:t xml:space="preserve"> </w:t>
      </w:r>
      <w:proofErr w:type="gramStart"/>
      <w:r w:rsidR="00904DB2">
        <w:t>Congress</w:t>
      </w:r>
      <w:r w:rsidR="00B103EA">
        <w:t>, and</w:t>
      </w:r>
      <w:proofErr w:type="gramEnd"/>
      <w:r w:rsidR="00B103EA">
        <w:t xml:space="preserve"> accompanying regulations</w:t>
      </w:r>
      <w:r w:rsidR="00273CD4">
        <w:t xml:space="preserve"> </w:t>
      </w:r>
      <w:r w:rsidR="00904DB2">
        <w:t>from</w:t>
      </w:r>
      <w:r w:rsidR="00273CD4">
        <w:t xml:space="preserve"> the </w:t>
      </w:r>
      <w:r w:rsidR="00F61B70">
        <w:t xml:space="preserve">Treasury </w:t>
      </w:r>
      <w:r w:rsidR="00273CD4">
        <w:t>Department were also reviewed to confirm ORI’s position.</w:t>
      </w:r>
      <w:r w:rsidR="00AA6161" w:rsidRPr="00AA6161">
        <w:t xml:space="preserve"> </w:t>
      </w:r>
      <w:r w:rsidR="00AA6161">
        <w:t>The key points are summarized below.</w:t>
      </w:r>
    </w:p>
    <w:p w14:paraId="5C8B6175" w14:textId="77777777" w:rsidR="00AA6161" w:rsidRDefault="00AA6161" w:rsidP="00513CD2">
      <w:pPr>
        <w:spacing w:after="0"/>
        <w:ind w:firstLine="720"/>
        <w:jc w:val="both"/>
      </w:pPr>
    </w:p>
    <w:p w14:paraId="00F7849F" w14:textId="327F8751" w:rsidR="00254B92" w:rsidRDefault="0014464F" w:rsidP="00513CD2">
      <w:pPr>
        <w:spacing w:after="0"/>
        <w:ind w:firstLine="720"/>
        <w:jc w:val="both"/>
      </w:pPr>
      <w:r>
        <w:t>ORI submitted a</w:t>
      </w:r>
      <w:r w:rsidR="00765B0F">
        <w:t xml:space="preserve"> </w:t>
      </w:r>
      <w:r w:rsidR="00627DB7">
        <w:t>CJ</w:t>
      </w:r>
      <w:r w:rsidR="00254B92">
        <w:t xml:space="preserve"> </w:t>
      </w:r>
      <w:r w:rsidR="00E304D7">
        <w:t>r</w:t>
      </w:r>
      <w:r w:rsidR="00254B92">
        <w:t xml:space="preserve">equest </w:t>
      </w:r>
      <w:r>
        <w:t>to the State Department’s Directorate for Defense Trade Controls</w:t>
      </w:r>
      <w:r w:rsidR="002B0D2A">
        <w:t xml:space="preserve"> (“DDTC”)</w:t>
      </w:r>
      <w:r>
        <w:t xml:space="preserve"> </w:t>
      </w:r>
      <w:proofErr w:type="gramStart"/>
      <w:r>
        <w:t>in order to</w:t>
      </w:r>
      <w:proofErr w:type="gramEnd"/>
      <w:r>
        <w:t xml:space="preserve"> determine </w:t>
      </w:r>
      <w:r w:rsidR="00254B92">
        <w:t xml:space="preserve">whether the </w:t>
      </w:r>
      <w:r w:rsidR="00610162">
        <w:t>Data</w:t>
      </w:r>
      <w:r w:rsidR="00254B92">
        <w:t xml:space="preserve"> </w:t>
      </w:r>
      <w:r>
        <w:t>c</w:t>
      </w:r>
      <w:r w:rsidR="00254B92">
        <w:t xml:space="preserve">ould be </w:t>
      </w:r>
      <w:r>
        <w:t>controlled on the United States Munitions List of the ITAR</w:t>
      </w:r>
      <w:r w:rsidR="00765B0F">
        <w:t>.</w:t>
      </w:r>
      <w:r>
        <w:t xml:space="preserve"> </w:t>
      </w:r>
      <w:r w:rsidR="00C419FC">
        <w:t xml:space="preserve">The </w:t>
      </w:r>
      <w:r w:rsidR="00DB4309">
        <w:t>State Department</w:t>
      </w:r>
      <w:r w:rsidR="00C419FC">
        <w:t xml:space="preserve"> </w:t>
      </w:r>
      <w:r>
        <w:t>confirmed</w:t>
      </w:r>
      <w:r w:rsidR="00C419FC">
        <w:t xml:space="preserve"> that </w:t>
      </w:r>
      <w:r>
        <w:t xml:space="preserve">the Data is not subject to the </w:t>
      </w:r>
      <w:proofErr w:type="gramStart"/>
      <w:r>
        <w:t>ITAR, and</w:t>
      </w:r>
      <w:proofErr w:type="gramEnd"/>
      <w:r>
        <w:t xml:space="preserve"> recommended that </w:t>
      </w:r>
      <w:r w:rsidR="00C419FC">
        <w:t xml:space="preserve">ORI </w:t>
      </w:r>
      <w:r>
        <w:t xml:space="preserve">consider whether the Data </w:t>
      </w:r>
      <w:r w:rsidR="00C419FC">
        <w:t xml:space="preserve">was </w:t>
      </w:r>
      <w:r>
        <w:t xml:space="preserve">controlled by </w:t>
      </w:r>
      <w:r w:rsidR="00C419FC">
        <w:t xml:space="preserve">the </w:t>
      </w:r>
      <w:r w:rsidR="00DB4309">
        <w:t>Commerce Department</w:t>
      </w:r>
      <w:r w:rsidR="00C419FC">
        <w:t>.</w:t>
      </w:r>
    </w:p>
    <w:p w14:paraId="60E228A2" w14:textId="5F3DB547" w:rsidR="00C419FC" w:rsidRDefault="00C419FC" w:rsidP="00513CD2">
      <w:pPr>
        <w:spacing w:after="0"/>
        <w:ind w:firstLine="720"/>
        <w:jc w:val="both"/>
      </w:pPr>
    </w:p>
    <w:p w14:paraId="5D604A3F" w14:textId="5FC63ECB" w:rsidR="00C419FC" w:rsidRDefault="0014464F" w:rsidP="00513CD2">
      <w:pPr>
        <w:spacing w:after="0"/>
        <w:ind w:firstLine="720"/>
        <w:jc w:val="both"/>
      </w:pPr>
      <w:r>
        <w:t xml:space="preserve">Therefore, ORI submitted a </w:t>
      </w:r>
      <w:r w:rsidR="00934854">
        <w:t>CCR</w:t>
      </w:r>
      <w:r w:rsidR="00C419FC">
        <w:t xml:space="preserve"> </w:t>
      </w:r>
      <w:r>
        <w:t xml:space="preserve">seeking confirmation of the </w:t>
      </w:r>
      <w:r w:rsidR="00610162">
        <w:t>Data</w:t>
      </w:r>
      <w:r>
        <w:t>’s classification on the Commerce Control List (“CCL”) of the EAR</w:t>
      </w:r>
      <w:r w:rsidR="00C419FC">
        <w:t xml:space="preserve">. The </w:t>
      </w:r>
      <w:r w:rsidR="00DB4309">
        <w:t xml:space="preserve">Commerce </w:t>
      </w:r>
      <w:r>
        <w:t>Department’s Bureau of Industry and Security</w:t>
      </w:r>
      <w:r w:rsidR="00C33AF7">
        <w:t xml:space="preserve"> (“BIS”)</w:t>
      </w:r>
      <w:r w:rsidR="00C419FC">
        <w:t xml:space="preserve"> issued a </w:t>
      </w:r>
      <w:r>
        <w:t xml:space="preserve">Commodity Classification confirming </w:t>
      </w:r>
      <w:r w:rsidR="00C419FC">
        <w:t xml:space="preserve">that the </w:t>
      </w:r>
      <w:r w:rsidR="00610162">
        <w:t>Data</w:t>
      </w:r>
      <w:r w:rsidR="00C419FC">
        <w:t xml:space="preserve"> </w:t>
      </w:r>
      <w:r>
        <w:t>sh</w:t>
      </w:r>
      <w:r w:rsidR="00C419FC">
        <w:t xml:space="preserve">ould be classified under Category 9 </w:t>
      </w:r>
      <w:r>
        <w:t>(</w:t>
      </w:r>
      <w:r w:rsidR="00C419FC">
        <w:t>Aerospace and Propulsion</w:t>
      </w:r>
      <w:r>
        <w:t>) on the CCL of the EAR.</w:t>
      </w:r>
      <w:r w:rsidR="00C419FC">
        <w:t xml:space="preserve"> </w:t>
      </w:r>
      <w:r>
        <w:t xml:space="preserve">Specifically, it confirmed applicability of Export Control Classification Numbers (“ECCNs”) </w:t>
      </w:r>
      <w:r w:rsidR="00311A4B">
        <w:t>5D</w:t>
      </w:r>
      <w:r>
        <w:t>515 and 5</w:t>
      </w:r>
      <w:r w:rsidR="00311A4B">
        <w:t>E515</w:t>
      </w:r>
      <w:r>
        <w:t xml:space="preserve"> for the software and technology, respectively</w:t>
      </w:r>
      <w:r w:rsidR="00C419FC">
        <w:t xml:space="preserve">. </w:t>
      </w:r>
    </w:p>
    <w:p w14:paraId="44C33C4A" w14:textId="7B13CF3E" w:rsidR="002917A6" w:rsidRDefault="002917A6" w:rsidP="00513CD2">
      <w:pPr>
        <w:spacing w:after="0"/>
        <w:ind w:firstLine="720"/>
        <w:jc w:val="both"/>
      </w:pPr>
    </w:p>
    <w:p w14:paraId="42027183" w14:textId="11478744" w:rsidR="002917A6" w:rsidRDefault="0014464F" w:rsidP="00513CD2">
      <w:pPr>
        <w:spacing w:after="0"/>
        <w:ind w:firstLine="720"/>
        <w:jc w:val="both"/>
      </w:pPr>
      <w:r>
        <w:t xml:space="preserve">Next, ORI submitted an </w:t>
      </w:r>
      <w:r w:rsidR="00E304D7">
        <w:t xml:space="preserve">Advisory Opinion </w:t>
      </w:r>
      <w:r>
        <w:t>R</w:t>
      </w:r>
      <w:r w:rsidR="00E304D7">
        <w:t xml:space="preserve">equest to </w:t>
      </w:r>
      <w:r>
        <w:t xml:space="preserve">address the question whether “published” software and technology is subject to the EAR. </w:t>
      </w:r>
      <w:r w:rsidR="00E304D7">
        <w:t xml:space="preserve">The </w:t>
      </w:r>
      <w:r w:rsidR="00DB4309">
        <w:t>Commerce Department</w:t>
      </w:r>
      <w:r>
        <w:t xml:space="preserve"> </w:t>
      </w:r>
      <w:r w:rsidR="00E304D7">
        <w:t xml:space="preserve">issued a response </w:t>
      </w:r>
      <w:r>
        <w:t>confirming</w:t>
      </w:r>
      <w:r w:rsidR="00E304D7">
        <w:t xml:space="preserve"> </w:t>
      </w:r>
      <w:r w:rsidR="003442E7">
        <w:t xml:space="preserve">that </w:t>
      </w:r>
      <w:r w:rsidR="00013638">
        <w:t xml:space="preserve">when the </w:t>
      </w:r>
      <w:r w:rsidR="00610162">
        <w:t>Data</w:t>
      </w:r>
      <w:r w:rsidR="00013638">
        <w:t xml:space="preserve"> is publicly disseminated, it </w:t>
      </w:r>
      <w:r w:rsidR="003442E7">
        <w:t>is</w:t>
      </w:r>
      <w:r w:rsidR="00013638">
        <w:t xml:space="preserve"> longer subject to the </w:t>
      </w:r>
      <w:r w:rsidR="00413991">
        <w:t xml:space="preserve">EAR. </w:t>
      </w:r>
    </w:p>
    <w:p w14:paraId="009FC9AB" w14:textId="0D084EB6" w:rsidR="005B718A" w:rsidRDefault="005B718A" w:rsidP="00513CD2">
      <w:pPr>
        <w:spacing w:after="0"/>
        <w:ind w:firstLine="720"/>
        <w:jc w:val="both"/>
      </w:pPr>
    </w:p>
    <w:p w14:paraId="12C04854" w14:textId="4AD72786" w:rsidR="005B718A" w:rsidRDefault="00413991" w:rsidP="00513CD2">
      <w:pPr>
        <w:spacing w:after="0"/>
        <w:ind w:firstLine="720"/>
        <w:jc w:val="both"/>
      </w:pPr>
      <w:r>
        <w:t>Finally, ORI reviewed t</w:t>
      </w:r>
      <w:r w:rsidR="00273CD4">
        <w:t>he</w:t>
      </w:r>
      <w:r w:rsidR="00D55424">
        <w:t xml:space="preserve"> Information </w:t>
      </w:r>
      <w:r w:rsidR="00946AD1">
        <w:t>or</w:t>
      </w:r>
      <w:r w:rsidR="00D55424">
        <w:t xml:space="preserve"> Informational Materials Exception </w:t>
      </w:r>
      <w:r>
        <w:t xml:space="preserve">codified in the Berman Amendment </w:t>
      </w:r>
      <w:r w:rsidR="00D55424">
        <w:t>to the</w:t>
      </w:r>
      <w:r w:rsidR="00273CD4">
        <w:t xml:space="preserve"> </w:t>
      </w:r>
      <w:r w:rsidR="00B00015">
        <w:t>IEEPA</w:t>
      </w:r>
      <w:r w:rsidR="00DB10AE">
        <w:t xml:space="preserve"> and the </w:t>
      </w:r>
      <w:proofErr w:type="gramStart"/>
      <w:r w:rsidR="00DB10AE">
        <w:t>TWEA,</w:t>
      </w:r>
      <w:r>
        <w:t xml:space="preserve"> and</w:t>
      </w:r>
      <w:proofErr w:type="gramEnd"/>
      <w:r>
        <w:t xml:space="preserve"> implemented in regulations promulgated by the Treasury Department’s Office of Foreign Assets Control (“OFAC”)</w:t>
      </w:r>
      <w:r w:rsidR="00DC4353">
        <w:t>,</w:t>
      </w:r>
      <w:r>
        <w:t xml:space="preserve"> including the </w:t>
      </w:r>
      <w:r w:rsidR="00BE6A32">
        <w:t>Iranian Transactions and Sanctions Regulations</w:t>
      </w:r>
      <w:r>
        <w:t xml:space="preserve">. Based on this research, we have concluded that </w:t>
      </w:r>
      <w:r w:rsidR="00BE6A32">
        <w:t>the Data would</w:t>
      </w:r>
      <w:r>
        <w:t xml:space="preserve"> not</w:t>
      </w:r>
      <w:r w:rsidR="00BE6A32">
        <w:t xml:space="preserve"> be subject to sanctions </w:t>
      </w:r>
      <w:r>
        <w:t xml:space="preserve">under these authorities. </w:t>
      </w:r>
    </w:p>
    <w:p w14:paraId="64EB788F" w14:textId="387CEE8D" w:rsidR="002917A6" w:rsidRDefault="002917A6" w:rsidP="00513CD2">
      <w:pPr>
        <w:spacing w:after="0"/>
        <w:ind w:firstLine="720"/>
        <w:jc w:val="both"/>
      </w:pPr>
    </w:p>
    <w:p w14:paraId="2BD86094" w14:textId="74FAEEDB" w:rsidR="002917A6" w:rsidRDefault="00413991" w:rsidP="00513CD2">
      <w:pPr>
        <w:spacing w:after="0"/>
        <w:ind w:firstLine="720"/>
        <w:jc w:val="both"/>
      </w:pPr>
      <w:r>
        <w:t xml:space="preserve">In summary, the </w:t>
      </w:r>
      <w:r w:rsidR="00627DB7">
        <w:t>CJ</w:t>
      </w:r>
      <w:r>
        <w:t xml:space="preserve"> determination, the </w:t>
      </w:r>
      <w:r w:rsidR="00627DB7">
        <w:t>CCR</w:t>
      </w:r>
      <w:r>
        <w:t xml:space="preserve"> determination, the Advisory Opinion, and our research into the Information or Informational Materials exemption, all confirm </w:t>
      </w:r>
      <w:r w:rsidR="002917A6">
        <w:t xml:space="preserve">ORI’s longstanding belief that its </w:t>
      </w:r>
      <w:r w:rsidR="00610162">
        <w:t>Data</w:t>
      </w:r>
      <w:r w:rsidR="002917A6">
        <w:t xml:space="preserve"> is not subject to U.S. export controls</w:t>
      </w:r>
      <w:r>
        <w:t xml:space="preserve"> or sanctions after it has been published to our web site or related repositories</w:t>
      </w:r>
      <w:r w:rsidR="002917A6">
        <w:t>.</w:t>
      </w:r>
    </w:p>
    <w:p w14:paraId="6899B893" w14:textId="6C4AD676" w:rsidR="007F0C35" w:rsidRDefault="007F0C35" w:rsidP="00513CD2">
      <w:pPr>
        <w:spacing w:after="0"/>
        <w:ind w:firstLine="720"/>
        <w:jc w:val="both"/>
      </w:pPr>
    </w:p>
    <w:p w14:paraId="5A72D4A4" w14:textId="05AD5E10" w:rsidR="00254B92" w:rsidRDefault="007F0C35" w:rsidP="006032F5">
      <w:pPr>
        <w:spacing w:after="0"/>
        <w:ind w:firstLine="720"/>
        <w:jc w:val="both"/>
      </w:pPr>
      <w:r>
        <w:t>This FAQ addresses the following</w:t>
      </w:r>
      <w:r w:rsidR="002917A6">
        <w:t xml:space="preserve"> topics</w:t>
      </w:r>
      <w:r w:rsidR="00013638">
        <w:t xml:space="preserve"> </w:t>
      </w:r>
      <w:proofErr w:type="gramStart"/>
      <w:r w:rsidR="006975E9">
        <w:t>in regard to</w:t>
      </w:r>
      <w:proofErr w:type="gramEnd"/>
      <w:r w:rsidR="00013638">
        <w:t xml:space="preserve"> </w:t>
      </w:r>
      <w:r w:rsidR="00C956A3">
        <w:t xml:space="preserve">the US </w:t>
      </w:r>
      <w:r w:rsidR="005B718A">
        <w:t>e</w:t>
      </w:r>
      <w:r w:rsidR="00C956A3">
        <w:t xml:space="preserve">xports </w:t>
      </w:r>
      <w:r w:rsidR="005B718A">
        <w:t>c</w:t>
      </w:r>
      <w:r w:rsidR="00C956A3">
        <w:t>ontrols</w:t>
      </w:r>
      <w:r w:rsidR="0088698E">
        <w:t xml:space="preserve"> of ORI’s </w:t>
      </w:r>
      <w:r w:rsidR="005B718A">
        <w:t>D</w:t>
      </w:r>
      <w:r w:rsidR="0088698E">
        <w:t>ata</w:t>
      </w:r>
      <w:r>
        <w:t>:</w:t>
      </w:r>
    </w:p>
    <w:p w14:paraId="7EBF0BC2" w14:textId="77777777" w:rsidR="00C20915" w:rsidRDefault="00C20915" w:rsidP="006032F5">
      <w:pPr>
        <w:spacing w:after="0"/>
        <w:ind w:firstLine="720"/>
        <w:jc w:val="both"/>
      </w:pPr>
    </w:p>
    <w:p w14:paraId="5F72622D" w14:textId="094A656B" w:rsidR="007F0C35" w:rsidRPr="00AE58A5" w:rsidRDefault="007F0C35" w:rsidP="007F0C35">
      <w:pPr>
        <w:pStyle w:val="ListParagraph"/>
        <w:numPr>
          <w:ilvl w:val="0"/>
          <w:numId w:val="15"/>
        </w:numPr>
        <w:spacing w:after="0"/>
        <w:jc w:val="both"/>
      </w:pPr>
      <w:r w:rsidRPr="00AE58A5">
        <w:t xml:space="preserve">Commodity Jurisdiction Request – </w:t>
      </w:r>
      <w:r w:rsidR="00DB4309">
        <w:t>State Department</w:t>
      </w:r>
      <w:r w:rsidR="006032F5">
        <w:t xml:space="preserve"> /</w:t>
      </w:r>
      <w:r w:rsidR="006032F5" w:rsidRPr="006032F5">
        <w:t xml:space="preserve"> </w:t>
      </w:r>
      <w:r w:rsidR="00F54468">
        <w:t>DDTC</w:t>
      </w:r>
    </w:p>
    <w:p w14:paraId="3504BB55" w14:textId="77777777" w:rsidR="007F0C35" w:rsidRPr="00AE58A5" w:rsidRDefault="007F0C35" w:rsidP="00690DB8">
      <w:pPr>
        <w:pStyle w:val="ListParagraph"/>
        <w:numPr>
          <w:ilvl w:val="1"/>
          <w:numId w:val="21"/>
        </w:numPr>
        <w:spacing w:after="0"/>
        <w:ind w:left="1800" w:hanging="720"/>
        <w:jc w:val="both"/>
      </w:pPr>
      <w:r w:rsidRPr="00AE58A5">
        <w:t>What is a Commodity Jurisdiction Request?</w:t>
      </w:r>
    </w:p>
    <w:p w14:paraId="632A5944" w14:textId="4D020C75" w:rsidR="007F0C35" w:rsidRPr="00AE58A5" w:rsidRDefault="007F0C35" w:rsidP="00690DB8">
      <w:pPr>
        <w:pStyle w:val="ListParagraph"/>
        <w:numPr>
          <w:ilvl w:val="1"/>
          <w:numId w:val="21"/>
        </w:numPr>
        <w:spacing w:after="0"/>
        <w:ind w:left="1800" w:hanging="720"/>
        <w:jc w:val="both"/>
      </w:pPr>
      <w:r w:rsidRPr="00AE58A5">
        <w:t xml:space="preserve">Why did ORI Submit a </w:t>
      </w:r>
      <w:r w:rsidR="003F78BD" w:rsidRPr="00AE58A5">
        <w:t xml:space="preserve">Commodity Jurisdiction </w:t>
      </w:r>
      <w:r w:rsidRPr="00AE58A5">
        <w:t>Request?</w:t>
      </w:r>
    </w:p>
    <w:p w14:paraId="7D170176" w14:textId="658E82FC" w:rsidR="00254B92" w:rsidRPr="00AE58A5" w:rsidRDefault="007F0C35" w:rsidP="00690DB8">
      <w:pPr>
        <w:pStyle w:val="ListParagraph"/>
        <w:numPr>
          <w:ilvl w:val="1"/>
          <w:numId w:val="21"/>
        </w:numPr>
        <w:spacing w:after="0"/>
        <w:ind w:left="1800" w:hanging="720"/>
        <w:jc w:val="both"/>
      </w:pPr>
      <w:r w:rsidRPr="00AE58A5">
        <w:t xml:space="preserve">What was DDTC’s </w:t>
      </w:r>
      <w:r w:rsidR="003F78BD" w:rsidRPr="00AE58A5">
        <w:t xml:space="preserve">Commodity Jurisdiction </w:t>
      </w:r>
      <w:r w:rsidRPr="00AE58A5">
        <w:t>Determination?</w:t>
      </w:r>
    </w:p>
    <w:p w14:paraId="34E7CB03" w14:textId="062171B2" w:rsidR="007F0C35" w:rsidRPr="00AE58A5" w:rsidRDefault="007F0C35" w:rsidP="007F0C35">
      <w:pPr>
        <w:pStyle w:val="ListParagraph"/>
        <w:numPr>
          <w:ilvl w:val="0"/>
          <w:numId w:val="15"/>
        </w:numPr>
        <w:spacing w:after="0"/>
        <w:ind w:right="720"/>
        <w:jc w:val="both"/>
      </w:pPr>
      <w:r w:rsidRPr="00AE58A5">
        <w:t xml:space="preserve">Commodity Classification Request – </w:t>
      </w:r>
      <w:r w:rsidR="00DB4309">
        <w:t>Commerce Department</w:t>
      </w:r>
      <w:r w:rsidRPr="00AE58A5">
        <w:t xml:space="preserve"> </w:t>
      </w:r>
      <w:r w:rsidR="006032F5">
        <w:t xml:space="preserve">/ </w:t>
      </w:r>
      <w:r w:rsidR="00F54468">
        <w:t>BIS</w:t>
      </w:r>
    </w:p>
    <w:p w14:paraId="27B2A7A8" w14:textId="77777777" w:rsidR="007F0C35" w:rsidRPr="00AE58A5" w:rsidRDefault="007F0C35" w:rsidP="00690DB8">
      <w:pPr>
        <w:pStyle w:val="ListParagraph"/>
        <w:numPr>
          <w:ilvl w:val="1"/>
          <w:numId w:val="22"/>
        </w:numPr>
        <w:spacing w:after="0"/>
        <w:ind w:left="1800" w:right="720" w:hanging="720"/>
        <w:jc w:val="both"/>
      </w:pPr>
      <w:r w:rsidRPr="00AE58A5">
        <w:t>What is a Commodity Classification Request?</w:t>
      </w:r>
    </w:p>
    <w:p w14:paraId="638CC75B" w14:textId="11DA352F" w:rsidR="002C764E" w:rsidRPr="00AE58A5" w:rsidRDefault="002C764E" w:rsidP="00690DB8">
      <w:pPr>
        <w:pStyle w:val="ListParagraph"/>
        <w:numPr>
          <w:ilvl w:val="1"/>
          <w:numId w:val="22"/>
        </w:numPr>
        <w:spacing w:after="0"/>
        <w:ind w:left="1800" w:right="720" w:hanging="720"/>
        <w:jc w:val="both"/>
      </w:pPr>
      <w:r w:rsidRPr="00AE58A5">
        <w:t xml:space="preserve">Why did ORI Submit a </w:t>
      </w:r>
      <w:r w:rsidR="003F78BD" w:rsidRPr="00AE58A5">
        <w:t>Commodity Classification Request</w:t>
      </w:r>
      <w:r w:rsidRPr="00AE58A5">
        <w:t>?</w:t>
      </w:r>
    </w:p>
    <w:p w14:paraId="74A2DB4C" w14:textId="14EE4015" w:rsidR="00254B92" w:rsidRPr="00AE58A5" w:rsidRDefault="002C764E" w:rsidP="00690DB8">
      <w:pPr>
        <w:pStyle w:val="ListParagraph"/>
        <w:numPr>
          <w:ilvl w:val="1"/>
          <w:numId w:val="22"/>
        </w:numPr>
        <w:spacing w:after="0"/>
        <w:ind w:left="1800" w:right="720" w:hanging="720"/>
        <w:jc w:val="both"/>
      </w:pPr>
      <w:r w:rsidRPr="00AE58A5">
        <w:t>What were BIS’s Classifications?</w:t>
      </w:r>
    </w:p>
    <w:p w14:paraId="624C331A" w14:textId="4C137981" w:rsidR="007F0C35" w:rsidRDefault="007F0C35" w:rsidP="006032F5">
      <w:pPr>
        <w:pStyle w:val="ListParagraph"/>
        <w:numPr>
          <w:ilvl w:val="0"/>
          <w:numId w:val="15"/>
        </w:numPr>
        <w:spacing w:after="0"/>
        <w:ind w:right="720"/>
        <w:jc w:val="both"/>
      </w:pPr>
      <w:r w:rsidRPr="00254B92">
        <w:t xml:space="preserve">Advisory Opinion Request – </w:t>
      </w:r>
      <w:r w:rsidR="00DB4309">
        <w:t>Commerce Department</w:t>
      </w:r>
      <w:r w:rsidRPr="00254B92">
        <w:t xml:space="preserve"> </w:t>
      </w:r>
      <w:r w:rsidR="006032F5">
        <w:t xml:space="preserve">/ </w:t>
      </w:r>
      <w:r w:rsidR="00F54468">
        <w:t>BI</w:t>
      </w:r>
      <w:r w:rsidR="003573ED">
        <w:t>S</w:t>
      </w:r>
    </w:p>
    <w:p w14:paraId="62919CE3" w14:textId="77777777" w:rsidR="003573ED" w:rsidRPr="00254B92" w:rsidRDefault="003573ED" w:rsidP="00690DB8">
      <w:pPr>
        <w:pStyle w:val="ListParagraph"/>
        <w:numPr>
          <w:ilvl w:val="1"/>
          <w:numId w:val="23"/>
        </w:numPr>
        <w:spacing w:after="0"/>
        <w:ind w:left="1800" w:right="720" w:hanging="720"/>
        <w:jc w:val="both"/>
      </w:pPr>
      <w:r w:rsidRPr="00254B92">
        <w:t>What is “Published”?</w:t>
      </w:r>
    </w:p>
    <w:p w14:paraId="073C989E" w14:textId="77777777" w:rsidR="003573ED" w:rsidRPr="00254B92" w:rsidRDefault="003573ED" w:rsidP="00690DB8">
      <w:pPr>
        <w:pStyle w:val="ListParagraph"/>
        <w:numPr>
          <w:ilvl w:val="1"/>
          <w:numId w:val="23"/>
        </w:numPr>
        <w:spacing w:after="0"/>
        <w:ind w:left="1800" w:right="720" w:hanging="720"/>
        <w:jc w:val="both"/>
      </w:pPr>
      <w:r w:rsidRPr="00254B92">
        <w:t>What is an Advisory Opinion?</w:t>
      </w:r>
    </w:p>
    <w:p w14:paraId="3AB7AB4F" w14:textId="77777777" w:rsidR="003573ED" w:rsidRPr="00254B92" w:rsidRDefault="003573ED" w:rsidP="00690DB8">
      <w:pPr>
        <w:pStyle w:val="ListParagraph"/>
        <w:numPr>
          <w:ilvl w:val="1"/>
          <w:numId w:val="23"/>
        </w:numPr>
        <w:spacing w:after="0"/>
        <w:ind w:left="1800" w:hanging="720"/>
        <w:jc w:val="both"/>
      </w:pPr>
      <w:r w:rsidRPr="00254B92">
        <w:t>Why did ORI Submit an Advisory Opinion Request?</w:t>
      </w:r>
    </w:p>
    <w:p w14:paraId="647FAE69" w14:textId="3333BB3C" w:rsidR="003573ED" w:rsidRDefault="003573ED" w:rsidP="00690DB8">
      <w:pPr>
        <w:pStyle w:val="ListParagraph"/>
        <w:numPr>
          <w:ilvl w:val="1"/>
          <w:numId w:val="23"/>
        </w:numPr>
        <w:spacing w:after="0"/>
        <w:ind w:left="1800" w:right="720" w:hanging="720"/>
        <w:jc w:val="both"/>
      </w:pPr>
      <w:r w:rsidRPr="00254B92">
        <w:t>What was BIS’s Response?</w:t>
      </w:r>
    </w:p>
    <w:p w14:paraId="5CA395BA" w14:textId="439C6019" w:rsidR="00690DB8" w:rsidRDefault="001C4647" w:rsidP="00690DB8">
      <w:pPr>
        <w:pStyle w:val="ListParagraph"/>
        <w:numPr>
          <w:ilvl w:val="0"/>
          <w:numId w:val="15"/>
        </w:numPr>
        <w:spacing w:after="0"/>
        <w:ind w:right="720"/>
        <w:jc w:val="both"/>
      </w:pPr>
      <w:r>
        <w:t xml:space="preserve">Informational Materials </w:t>
      </w:r>
      <w:r w:rsidR="00CC6FE7">
        <w:t>Exception</w:t>
      </w:r>
      <w:r w:rsidR="00724611">
        <w:t xml:space="preserve"> –</w:t>
      </w:r>
      <w:r w:rsidR="00B72A35">
        <w:t xml:space="preserve"> </w:t>
      </w:r>
      <w:r w:rsidR="001476E9">
        <w:t>IEEPA</w:t>
      </w:r>
      <w:r w:rsidR="00DB10AE">
        <w:t>, TWEA</w:t>
      </w:r>
      <w:r w:rsidR="001476E9">
        <w:t xml:space="preserve"> and</w:t>
      </w:r>
      <w:r w:rsidR="00724611">
        <w:t xml:space="preserve"> </w:t>
      </w:r>
      <w:r w:rsidR="00765B0F">
        <w:t xml:space="preserve">Treasury </w:t>
      </w:r>
      <w:r w:rsidR="00724611">
        <w:t>Department /</w:t>
      </w:r>
      <w:r w:rsidR="008E72DF">
        <w:t xml:space="preserve"> </w:t>
      </w:r>
      <w:r w:rsidR="00724611">
        <w:t>OFAC</w:t>
      </w:r>
    </w:p>
    <w:p w14:paraId="2C6F8EE0" w14:textId="74DC2298" w:rsidR="00690DB8" w:rsidRDefault="00690DB8" w:rsidP="00690DB8">
      <w:pPr>
        <w:pStyle w:val="ListParagraph"/>
        <w:numPr>
          <w:ilvl w:val="0"/>
          <w:numId w:val="28"/>
        </w:numPr>
        <w:spacing w:after="0"/>
        <w:ind w:left="1800" w:right="720" w:hanging="720"/>
        <w:jc w:val="both"/>
      </w:pPr>
      <w:r>
        <w:t>What is the Information</w:t>
      </w:r>
      <w:r w:rsidR="0088698E">
        <w:t xml:space="preserve"> </w:t>
      </w:r>
      <w:r w:rsidR="00946AD1">
        <w:t>or</w:t>
      </w:r>
      <w:r w:rsidR="0088698E">
        <w:t xml:space="preserve"> Information</w:t>
      </w:r>
      <w:r>
        <w:t>al Materials Exception?</w:t>
      </w:r>
    </w:p>
    <w:p w14:paraId="5BC1EAD6" w14:textId="74178866" w:rsidR="001E3F43" w:rsidRPr="00254B92" w:rsidRDefault="00690DB8" w:rsidP="001E3F43">
      <w:pPr>
        <w:pStyle w:val="ListParagraph"/>
        <w:numPr>
          <w:ilvl w:val="0"/>
          <w:numId w:val="28"/>
        </w:numPr>
        <w:spacing w:after="0"/>
        <w:ind w:left="1800" w:right="720" w:hanging="720"/>
        <w:jc w:val="both"/>
      </w:pPr>
      <w:r>
        <w:t>How does the Information</w:t>
      </w:r>
      <w:r w:rsidR="0088698E">
        <w:t xml:space="preserve"> </w:t>
      </w:r>
      <w:r w:rsidR="00946AD1">
        <w:t>or</w:t>
      </w:r>
      <w:r w:rsidR="0088698E">
        <w:t xml:space="preserve"> Information</w:t>
      </w:r>
      <w:r>
        <w:t xml:space="preserve">al Materials Exception </w:t>
      </w:r>
      <w:r w:rsidR="0088698E">
        <w:t>A</w:t>
      </w:r>
      <w:r>
        <w:t>pply to ORI</w:t>
      </w:r>
      <w:r w:rsidR="007E1617">
        <w:t>’s Data</w:t>
      </w:r>
      <w:r>
        <w:t>?</w:t>
      </w:r>
    </w:p>
    <w:p w14:paraId="66C1FDEC" w14:textId="003098A5" w:rsidR="00C419FC" w:rsidRPr="003573ED" w:rsidRDefault="00C419FC" w:rsidP="003573ED">
      <w:pPr>
        <w:pStyle w:val="ListParagraph"/>
        <w:numPr>
          <w:ilvl w:val="1"/>
          <w:numId w:val="15"/>
        </w:numPr>
        <w:spacing w:after="0"/>
        <w:jc w:val="both"/>
        <w:rPr>
          <w:b/>
          <w:bCs/>
        </w:rPr>
      </w:pPr>
      <w:r w:rsidRPr="003573ED">
        <w:rPr>
          <w:b/>
          <w:bCs/>
        </w:rPr>
        <w:br w:type="page"/>
      </w:r>
    </w:p>
    <w:p w14:paraId="773D7089" w14:textId="29C96223" w:rsidR="006032F5" w:rsidRDefault="005D4798" w:rsidP="001E40DE">
      <w:pPr>
        <w:pStyle w:val="ListParagraph"/>
        <w:numPr>
          <w:ilvl w:val="0"/>
          <w:numId w:val="8"/>
        </w:numPr>
        <w:spacing w:after="0"/>
        <w:ind w:left="360"/>
        <w:jc w:val="both"/>
        <w:rPr>
          <w:b/>
          <w:bCs/>
        </w:rPr>
      </w:pPr>
      <w:r w:rsidRPr="001E40DE">
        <w:rPr>
          <w:b/>
          <w:bCs/>
        </w:rPr>
        <w:lastRenderedPageBreak/>
        <w:t>COMMODITY JURISDICTION REQUEST</w:t>
      </w:r>
    </w:p>
    <w:p w14:paraId="3F23C487" w14:textId="369BBC5E" w:rsidR="001E40DE" w:rsidRPr="00DC0E91" w:rsidRDefault="00DB4309" w:rsidP="006032F5">
      <w:pPr>
        <w:pStyle w:val="ListParagraph"/>
        <w:spacing w:after="0"/>
        <w:ind w:left="360"/>
        <w:jc w:val="both"/>
      </w:pPr>
      <w:r>
        <w:t xml:space="preserve">STATE </w:t>
      </w:r>
      <w:r w:rsidR="00C33AF7">
        <w:t>DEPARTMENT</w:t>
      </w:r>
      <w:r w:rsidR="00C33AF7" w:rsidRPr="00DC0E91">
        <w:t xml:space="preserve"> / </w:t>
      </w:r>
      <w:r w:rsidR="00C33AF7" w:rsidRPr="00C33AF7">
        <w:t>DIRECTORATE FOR DEFENSE TRADE CONTROLS</w:t>
      </w:r>
    </w:p>
    <w:p w14:paraId="4607A00F" w14:textId="77777777" w:rsidR="001E40DE" w:rsidRPr="001E40DE" w:rsidRDefault="001E40DE" w:rsidP="001E40DE">
      <w:pPr>
        <w:spacing w:after="0"/>
        <w:jc w:val="both"/>
        <w:rPr>
          <w:b/>
          <w:bCs/>
        </w:rPr>
      </w:pPr>
    </w:p>
    <w:p w14:paraId="0656C10F" w14:textId="63834CBC" w:rsidR="00192059" w:rsidRPr="001E40DE" w:rsidRDefault="000555F3" w:rsidP="001E40DE">
      <w:pPr>
        <w:pStyle w:val="ListParagraph"/>
        <w:numPr>
          <w:ilvl w:val="1"/>
          <w:numId w:val="8"/>
        </w:numPr>
        <w:spacing w:after="0"/>
        <w:ind w:left="1080" w:hanging="720"/>
        <w:jc w:val="both"/>
        <w:rPr>
          <w:b/>
          <w:bCs/>
        </w:rPr>
      </w:pPr>
      <w:r w:rsidRPr="001E40DE">
        <w:rPr>
          <w:b/>
          <w:bCs/>
        </w:rPr>
        <w:t xml:space="preserve">What is a Commodity Jurisdiction </w:t>
      </w:r>
      <w:r w:rsidR="008422FE" w:rsidRPr="001E40DE">
        <w:rPr>
          <w:b/>
          <w:bCs/>
        </w:rPr>
        <w:t>R</w:t>
      </w:r>
      <w:r w:rsidRPr="001E40DE">
        <w:rPr>
          <w:b/>
          <w:bCs/>
        </w:rPr>
        <w:t>equest?</w:t>
      </w:r>
    </w:p>
    <w:p w14:paraId="4FD1783D" w14:textId="31FE9F5E" w:rsidR="000555F3" w:rsidRDefault="000555F3" w:rsidP="000555F3">
      <w:pPr>
        <w:spacing w:after="0"/>
        <w:jc w:val="both"/>
      </w:pPr>
    </w:p>
    <w:p w14:paraId="53C0F058" w14:textId="30F3F353" w:rsidR="001E40DE" w:rsidRDefault="00413991" w:rsidP="001E40DE">
      <w:pPr>
        <w:spacing w:after="0"/>
        <w:ind w:firstLine="720"/>
        <w:jc w:val="both"/>
      </w:pPr>
      <w:r>
        <w:t>The</w:t>
      </w:r>
      <w:r w:rsidR="000555F3">
        <w:t xml:space="preserve"> </w:t>
      </w:r>
      <w:r w:rsidR="00627DB7">
        <w:t>CJ</w:t>
      </w:r>
      <w:r w:rsidR="000555F3">
        <w:t xml:space="preserve"> </w:t>
      </w:r>
      <w:r>
        <w:t xml:space="preserve">procedure </w:t>
      </w:r>
      <w:r w:rsidR="00DB4309">
        <w:t>permits members of the public, like ORI,</w:t>
      </w:r>
      <w:r w:rsidR="000555F3" w:rsidRPr="000555F3">
        <w:t xml:space="preserve"> to submit a CJ request </w:t>
      </w:r>
      <w:proofErr w:type="gramStart"/>
      <w:r w:rsidR="00DB4309">
        <w:t xml:space="preserve">in order </w:t>
      </w:r>
      <w:r w:rsidR="000555F3" w:rsidRPr="000555F3">
        <w:t>to</w:t>
      </w:r>
      <w:proofErr w:type="gramEnd"/>
      <w:r w:rsidR="000555F3" w:rsidRPr="000555F3">
        <w:t xml:space="preserve"> determine whether an item or service is </w:t>
      </w:r>
      <w:r w:rsidR="00DB4309">
        <w:t>described in</w:t>
      </w:r>
      <w:r w:rsidR="000555F3" w:rsidRPr="000555F3">
        <w:t xml:space="preserve"> the U.S. Munitions List (</w:t>
      </w:r>
      <w:r w:rsidR="000555F3">
        <w:t>“</w:t>
      </w:r>
      <w:r w:rsidR="000555F3" w:rsidRPr="000555F3">
        <w:t>USML</w:t>
      </w:r>
      <w:r w:rsidR="000555F3">
        <w:t>”</w:t>
      </w:r>
      <w:r w:rsidR="000555F3" w:rsidRPr="000555F3">
        <w:t xml:space="preserve">) and therefore subject to export controls administered by </w:t>
      </w:r>
      <w:r w:rsidR="002B0D2A">
        <w:t>DDTC</w:t>
      </w:r>
      <w:r w:rsidR="000555F3">
        <w:t xml:space="preserve"> pursuant to the Arms Export Control Act (“AECA”, 22 USC </w:t>
      </w:r>
      <w:r w:rsidR="00DB4309">
        <w:t>2</w:t>
      </w:r>
      <w:r w:rsidR="00314B30">
        <w:t>75</w:t>
      </w:r>
      <w:r w:rsidR="00DB4309">
        <w:t xml:space="preserve">1 </w:t>
      </w:r>
      <w:r w:rsidR="00DB4309" w:rsidRPr="00314B30">
        <w:rPr>
          <w:i/>
          <w:iCs/>
        </w:rPr>
        <w:t>et seq.</w:t>
      </w:r>
      <w:r w:rsidR="000555F3">
        <w:t xml:space="preserve">) and the </w:t>
      </w:r>
      <w:r w:rsidR="00C16838">
        <w:t>ITAR</w:t>
      </w:r>
      <w:r w:rsidR="00311A4B">
        <w:t xml:space="preserve"> (22 CFR Subchapter M)</w:t>
      </w:r>
      <w:r w:rsidR="00513CD2">
        <w:t>.</w:t>
      </w:r>
      <w:r w:rsidR="00231543">
        <w:t xml:space="preserve"> CJ determinations are used to assist in deciding the jurisdiction for a </w:t>
      </w:r>
      <w:r w:rsidR="00231543" w:rsidRPr="00231543">
        <w:rPr>
          <w:i/>
          <w:iCs/>
        </w:rPr>
        <w:t>specific</w:t>
      </w:r>
      <w:r w:rsidR="00231543">
        <w:t xml:space="preserve"> commodity and do not provide generalized guidance for an industry or issue area.</w:t>
      </w:r>
    </w:p>
    <w:p w14:paraId="29E293C2" w14:textId="77777777" w:rsidR="001E40DE" w:rsidRDefault="001E40DE" w:rsidP="001E40DE">
      <w:pPr>
        <w:spacing w:after="0"/>
        <w:jc w:val="both"/>
      </w:pPr>
    </w:p>
    <w:p w14:paraId="00863619" w14:textId="6BDA0C69" w:rsidR="000555F3" w:rsidRPr="001E40DE" w:rsidRDefault="00A72363" w:rsidP="001E40DE">
      <w:pPr>
        <w:pStyle w:val="ListParagraph"/>
        <w:numPr>
          <w:ilvl w:val="1"/>
          <w:numId w:val="8"/>
        </w:numPr>
        <w:spacing w:after="0"/>
        <w:ind w:left="1080" w:hanging="720"/>
        <w:jc w:val="both"/>
      </w:pPr>
      <w:r w:rsidRPr="001E40DE">
        <w:rPr>
          <w:b/>
          <w:bCs/>
        </w:rPr>
        <w:t xml:space="preserve">Why did ORI </w:t>
      </w:r>
      <w:r w:rsidR="0031236D" w:rsidRPr="001E40DE">
        <w:rPr>
          <w:b/>
          <w:bCs/>
        </w:rPr>
        <w:t>S</w:t>
      </w:r>
      <w:r w:rsidRPr="001E40DE">
        <w:rPr>
          <w:b/>
          <w:bCs/>
        </w:rPr>
        <w:t>ubmit a C</w:t>
      </w:r>
      <w:r w:rsidR="003F78BD">
        <w:rPr>
          <w:b/>
          <w:bCs/>
        </w:rPr>
        <w:t xml:space="preserve">ommodity </w:t>
      </w:r>
      <w:r w:rsidRPr="001E40DE">
        <w:rPr>
          <w:b/>
          <w:bCs/>
        </w:rPr>
        <w:t>J</w:t>
      </w:r>
      <w:r w:rsidR="003F78BD">
        <w:rPr>
          <w:b/>
          <w:bCs/>
        </w:rPr>
        <w:t>urisdiction</w:t>
      </w:r>
      <w:r w:rsidRPr="001E40DE">
        <w:rPr>
          <w:b/>
          <w:bCs/>
        </w:rPr>
        <w:t xml:space="preserve"> </w:t>
      </w:r>
      <w:r w:rsidR="008422FE" w:rsidRPr="001E40DE">
        <w:rPr>
          <w:b/>
          <w:bCs/>
        </w:rPr>
        <w:t>R</w:t>
      </w:r>
      <w:r w:rsidRPr="001E40DE">
        <w:rPr>
          <w:b/>
          <w:bCs/>
        </w:rPr>
        <w:t>equest?</w:t>
      </w:r>
    </w:p>
    <w:p w14:paraId="1C5352A2" w14:textId="4395C96C" w:rsidR="00A72363" w:rsidRDefault="00A72363" w:rsidP="000555F3">
      <w:pPr>
        <w:spacing w:after="0"/>
        <w:jc w:val="both"/>
      </w:pPr>
    </w:p>
    <w:p w14:paraId="645D1364" w14:textId="2039B42D" w:rsidR="00A72363" w:rsidRDefault="00A72363" w:rsidP="003D7C61">
      <w:pPr>
        <w:spacing w:after="0"/>
        <w:ind w:firstLine="720"/>
        <w:jc w:val="both"/>
      </w:pPr>
      <w:r>
        <w:t xml:space="preserve">ORI submitted a CJ request to determine whether its </w:t>
      </w:r>
      <w:r w:rsidR="00C16838">
        <w:t>Data</w:t>
      </w:r>
      <w:r w:rsidR="00DB4309">
        <w:t xml:space="preserve"> is</w:t>
      </w:r>
      <w:r w:rsidR="00C7669B">
        <w:t xml:space="preserve"> subject to </w:t>
      </w:r>
      <w:r w:rsidR="00DB4309">
        <w:t>the ITAR</w:t>
      </w:r>
      <w:r w:rsidR="00C16838">
        <w:t xml:space="preserve"> </w:t>
      </w:r>
      <w:r w:rsidR="00C7669B">
        <w:t xml:space="preserve">or </w:t>
      </w:r>
      <w:r w:rsidR="00FC5165">
        <w:t>subject to jurisdiction instead by</w:t>
      </w:r>
      <w:r w:rsidR="00C7669B">
        <w:t xml:space="preserve"> the </w:t>
      </w:r>
      <w:r w:rsidR="00DB4309">
        <w:t xml:space="preserve">Commerce Department </w:t>
      </w:r>
      <w:r w:rsidR="00C7669B">
        <w:t xml:space="preserve">under the </w:t>
      </w:r>
      <w:r w:rsidR="00F61B70">
        <w:t>CCL</w:t>
      </w:r>
      <w:r w:rsidR="00C7669B" w:rsidRPr="00C7669B">
        <w:t xml:space="preserve"> of the</w:t>
      </w:r>
      <w:r w:rsidR="00311A4B">
        <w:t xml:space="preserve"> </w:t>
      </w:r>
      <w:r w:rsidR="00F61B70">
        <w:t>EAR</w:t>
      </w:r>
      <w:r w:rsidR="00C7669B" w:rsidRPr="00C7669B">
        <w:t xml:space="preserve"> </w:t>
      </w:r>
      <w:r w:rsidR="00311A4B" w:rsidRPr="00C7669B">
        <w:t xml:space="preserve">(15 CFR Part 730 </w:t>
      </w:r>
      <w:r w:rsidR="00311A4B" w:rsidRPr="00C7669B">
        <w:rPr>
          <w:i/>
          <w:iCs/>
        </w:rPr>
        <w:t>et seq</w:t>
      </w:r>
      <w:r w:rsidR="00311A4B" w:rsidRPr="00C7669B">
        <w:t>.)</w:t>
      </w:r>
      <w:r w:rsidR="00513CD2">
        <w:t>.</w:t>
      </w:r>
    </w:p>
    <w:p w14:paraId="458C6E64" w14:textId="3773CBCB" w:rsidR="003D7C61" w:rsidRDefault="003D7C61" w:rsidP="00A44345">
      <w:pPr>
        <w:spacing w:after="0"/>
        <w:jc w:val="both"/>
      </w:pPr>
    </w:p>
    <w:p w14:paraId="0AB7817B" w14:textId="0B99714B" w:rsidR="003D7C61" w:rsidRDefault="003D7C61" w:rsidP="00A44345">
      <w:pPr>
        <w:spacing w:after="0"/>
        <w:jc w:val="both"/>
      </w:pPr>
      <w:r>
        <w:tab/>
      </w:r>
      <w:r w:rsidR="00DB4309">
        <w:t xml:space="preserve">As described in </w:t>
      </w:r>
      <w:r>
        <w:t>ORI</w:t>
      </w:r>
      <w:r w:rsidR="00DB4309">
        <w:t>’s CJ Request,</w:t>
      </w:r>
      <w:r>
        <w:t xml:space="preserve"> Space and ORI Ground Station </w:t>
      </w:r>
      <w:r w:rsidR="00DB4309">
        <w:t xml:space="preserve">may </w:t>
      </w:r>
      <w:r>
        <w:t>contain elements of the following USML entries</w:t>
      </w:r>
      <w:r w:rsidR="00A44345">
        <w:t xml:space="preserve"> that could have made ORI’s data subject to jurisdiction by the</w:t>
      </w:r>
      <w:r w:rsidR="00F55FB8">
        <w:t xml:space="preserve"> </w:t>
      </w:r>
      <w:r w:rsidR="00DB4309">
        <w:t>State Department</w:t>
      </w:r>
      <w:r>
        <w:t>:</w:t>
      </w:r>
    </w:p>
    <w:p w14:paraId="2D22485A" w14:textId="77777777" w:rsidR="00DB4309" w:rsidRDefault="00DB4309" w:rsidP="00A44345">
      <w:pPr>
        <w:spacing w:after="0"/>
        <w:jc w:val="both"/>
      </w:pPr>
    </w:p>
    <w:p w14:paraId="705DFFF0" w14:textId="287F47B6" w:rsidR="003D7C61" w:rsidRDefault="003D7C61" w:rsidP="00A44345">
      <w:pPr>
        <w:pStyle w:val="ListParagraph"/>
        <w:numPr>
          <w:ilvl w:val="0"/>
          <w:numId w:val="1"/>
        </w:numPr>
        <w:spacing w:after="0"/>
        <w:jc w:val="both"/>
      </w:pPr>
      <w:r>
        <w:t xml:space="preserve">Category XV(a) </w:t>
      </w:r>
      <w:r w:rsidRPr="003D7C61">
        <w:t>Spacecraft, including</w:t>
      </w:r>
      <w:r>
        <w:t xml:space="preserve"> </w:t>
      </w:r>
      <w:r w:rsidRPr="003D7C61">
        <w:t>satellites and space vehicles, whether designated</w:t>
      </w:r>
      <w:r>
        <w:t xml:space="preserve"> </w:t>
      </w:r>
      <w:r w:rsidRPr="003D7C61">
        <w:t>developmental, experimental, research, or scientific, or</w:t>
      </w:r>
      <w:r>
        <w:t xml:space="preserve"> </w:t>
      </w:r>
      <w:r w:rsidRPr="003D7C61">
        <w:t xml:space="preserve">having a commercial, civil, or military </w:t>
      </w:r>
      <w:proofErr w:type="gramStart"/>
      <w:r w:rsidRPr="003D7C61">
        <w:t>end-use</w:t>
      </w:r>
      <w:r>
        <w:t>;</w:t>
      </w:r>
      <w:proofErr w:type="gramEnd"/>
    </w:p>
    <w:p w14:paraId="308E1D30" w14:textId="300C8616" w:rsidR="003D7C61" w:rsidRDefault="003D7C61" w:rsidP="00A44345">
      <w:pPr>
        <w:pStyle w:val="ListParagraph"/>
        <w:numPr>
          <w:ilvl w:val="0"/>
          <w:numId w:val="1"/>
        </w:numPr>
        <w:spacing w:after="0"/>
        <w:jc w:val="both"/>
      </w:pPr>
      <w:r>
        <w:t>Category XV</w:t>
      </w:r>
      <w:r w:rsidRPr="003D7C61">
        <w:t>(b) Ground control systems or training simulators,</w:t>
      </w:r>
      <w:r>
        <w:t xml:space="preserve"> </w:t>
      </w:r>
      <w:r w:rsidRPr="003D7C61">
        <w:t>specially designed for telemetry, tracking, and control</w:t>
      </w:r>
      <w:r>
        <w:t xml:space="preserve"> </w:t>
      </w:r>
      <w:r w:rsidRPr="003D7C61">
        <w:t>(TT&amp;C) of spacecraft in paragraph (a) of this category</w:t>
      </w:r>
      <w:r>
        <w:t>; and</w:t>
      </w:r>
    </w:p>
    <w:p w14:paraId="55B85DE3" w14:textId="31298DD5" w:rsidR="003D7C61" w:rsidRDefault="003D7C61" w:rsidP="00A44345">
      <w:pPr>
        <w:pStyle w:val="ListParagraph"/>
        <w:numPr>
          <w:ilvl w:val="0"/>
          <w:numId w:val="1"/>
        </w:numPr>
        <w:spacing w:after="0"/>
        <w:jc w:val="both"/>
      </w:pPr>
      <w:r>
        <w:t>Category XV(e) Spacecraft parts, components, accessories, attachments, equipment, or systems.</w:t>
      </w:r>
    </w:p>
    <w:p w14:paraId="4F248787" w14:textId="47702B32" w:rsidR="00A44345" w:rsidRDefault="00A44345" w:rsidP="00A44345">
      <w:pPr>
        <w:spacing w:after="0"/>
        <w:ind w:left="720"/>
        <w:jc w:val="both"/>
      </w:pPr>
    </w:p>
    <w:p w14:paraId="2232F3A8" w14:textId="5D303BB4" w:rsidR="003D7C61" w:rsidRDefault="00A44345" w:rsidP="00A44345">
      <w:pPr>
        <w:spacing w:after="0"/>
        <w:jc w:val="both"/>
      </w:pPr>
      <w:r>
        <w:tab/>
      </w:r>
      <w:r w:rsidR="003D7C61">
        <w:t xml:space="preserve">However, </w:t>
      </w:r>
      <w:r w:rsidR="00DB4309">
        <w:t xml:space="preserve">none of the entries on the USML of the ITAR govern the Data. Furthermore, </w:t>
      </w:r>
      <w:r w:rsidR="003D7C61">
        <w:t xml:space="preserve">“technical data” as defined by the USML does not include information in the public domain (22 CFR 120.10-11). </w:t>
      </w:r>
      <w:r w:rsidR="002B0D2A">
        <w:t>DDTC</w:t>
      </w:r>
      <w:r w:rsidR="00F55FB8">
        <w:t xml:space="preserve"> </w:t>
      </w:r>
      <w:r w:rsidR="003D7C61">
        <w:t>issued its CJ determination</w:t>
      </w:r>
      <w:r>
        <w:t xml:space="preserve"> that ORI’s </w:t>
      </w:r>
      <w:r w:rsidR="00610162">
        <w:t>Data</w:t>
      </w:r>
      <w:r>
        <w:t xml:space="preserve"> </w:t>
      </w:r>
      <w:r w:rsidR="00DB4309">
        <w:t>i</w:t>
      </w:r>
      <w:r>
        <w:t>s not subject to its jurisdiction</w:t>
      </w:r>
      <w:r w:rsidR="00F55FB8">
        <w:t>.</w:t>
      </w:r>
    </w:p>
    <w:p w14:paraId="60AAC388" w14:textId="121C225C" w:rsidR="00000A29" w:rsidRDefault="00000A29" w:rsidP="00A44345">
      <w:pPr>
        <w:spacing w:after="0"/>
        <w:jc w:val="both"/>
      </w:pPr>
    </w:p>
    <w:p w14:paraId="4E95DF04" w14:textId="38D30D66" w:rsidR="00B45EF8" w:rsidRDefault="00000A29" w:rsidP="00B45EF8">
      <w:pPr>
        <w:spacing w:after="0"/>
        <w:ind w:firstLine="720"/>
        <w:jc w:val="both"/>
      </w:pPr>
      <w:commentRangeStart w:id="1"/>
      <w:r>
        <w:t>ORI submitted its CJ application on February 20, 2020.</w:t>
      </w:r>
      <w:r w:rsidR="00B45EF8">
        <w:t xml:space="preserve"> The CJ </w:t>
      </w:r>
      <w:r w:rsidR="00C71B20">
        <w:t xml:space="preserve">cover letter and </w:t>
      </w:r>
      <w:r w:rsidR="00B45EF8">
        <w:t>application can be viewed</w:t>
      </w:r>
      <w:r w:rsidR="00C71B20">
        <w:t xml:space="preserve"> </w:t>
      </w:r>
      <w:hyperlink r:id="rId8" w:history="1">
        <w:r w:rsidR="00C71B20" w:rsidRPr="00C71B20">
          <w:rPr>
            <w:rStyle w:val="Hyperlink"/>
          </w:rPr>
          <w:t>here</w:t>
        </w:r>
      </w:hyperlink>
      <w:r w:rsidR="00C71B20">
        <w:t xml:space="preserve"> and</w:t>
      </w:r>
      <w:r w:rsidR="00B45EF8">
        <w:t xml:space="preserve"> </w:t>
      </w:r>
      <w:hyperlink r:id="rId9" w:history="1">
        <w:r w:rsidR="00B45EF8" w:rsidRPr="00B45EF8">
          <w:rPr>
            <w:rStyle w:val="Hyperlink"/>
          </w:rPr>
          <w:t>here</w:t>
        </w:r>
      </w:hyperlink>
      <w:r w:rsidR="00C71B20">
        <w:t>, respectively.</w:t>
      </w:r>
      <w:commentRangeEnd w:id="1"/>
      <w:r w:rsidR="00DB4309">
        <w:rPr>
          <w:rStyle w:val="CommentReference"/>
        </w:rPr>
        <w:commentReference w:id="1"/>
      </w:r>
    </w:p>
    <w:p w14:paraId="63F55453" w14:textId="738DE4CE" w:rsidR="00A44345" w:rsidRDefault="00A44345" w:rsidP="00A44345">
      <w:pPr>
        <w:spacing w:after="0"/>
        <w:jc w:val="both"/>
      </w:pPr>
    </w:p>
    <w:p w14:paraId="258FB9A2" w14:textId="0476DAF0" w:rsidR="00A44345" w:rsidRPr="008E7483" w:rsidRDefault="00A44345" w:rsidP="008E7483">
      <w:pPr>
        <w:pStyle w:val="ListParagraph"/>
        <w:numPr>
          <w:ilvl w:val="1"/>
          <w:numId w:val="8"/>
        </w:numPr>
        <w:spacing w:after="0"/>
        <w:ind w:left="1080" w:hanging="720"/>
        <w:jc w:val="both"/>
        <w:rPr>
          <w:b/>
          <w:bCs/>
        </w:rPr>
      </w:pPr>
      <w:r w:rsidRPr="008E7483">
        <w:rPr>
          <w:b/>
          <w:bCs/>
        </w:rPr>
        <w:t xml:space="preserve">What was DDTC’s </w:t>
      </w:r>
      <w:r w:rsidR="0031236D" w:rsidRPr="008E7483">
        <w:rPr>
          <w:b/>
          <w:bCs/>
        </w:rPr>
        <w:t>C</w:t>
      </w:r>
      <w:r w:rsidR="003F78BD">
        <w:rPr>
          <w:b/>
          <w:bCs/>
        </w:rPr>
        <w:t xml:space="preserve">ommodity </w:t>
      </w:r>
      <w:r w:rsidR="0031236D" w:rsidRPr="008E7483">
        <w:rPr>
          <w:b/>
          <w:bCs/>
        </w:rPr>
        <w:t>J</w:t>
      </w:r>
      <w:r w:rsidR="003F78BD">
        <w:rPr>
          <w:b/>
          <w:bCs/>
        </w:rPr>
        <w:t>urisdiction</w:t>
      </w:r>
      <w:r w:rsidR="0031236D" w:rsidRPr="008E7483">
        <w:rPr>
          <w:b/>
          <w:bCs/>
        </w:rPr>
        <w:t xml:space="preserve"> D</w:t>
      </w:r>
      <w:r w:rsidRPr="008E7483">
        <w:rPr>
          <w:b/>
          <w:bCs/>
        </w:rPr>
        <w:t>etermination?</w:t>
      </w:r>
    </w:p>
    <w:p w14:paraId="433B9314" w14:textId="5F862E1F" w:rsidR="00A44345" w:rsidRDefault="00A44345" w:rsidP="00A44345">
      <w:pPr>
        <w:spacing w:after="0"/>
        <w:jc w:val="both"/>
      </w:pPr>
    </w:p>
    <w:p w14:paraId="13154D43" w14:textId="3993934A" w:rsidR="006A2D28" w:rsidRDefault="006A2D28" w:rsidP="006A2D28">
      <w:pPr>
        <w:spacing w:after="0"/>
        <w:jc w:val="both"/>
      </w:pPr>
      <w:r>
        <w:tab/>
        <w:t>On August 11, 2020, DDTC issued CJ0003120</w:t>
      </w:r>
      <w:r w:rsidR="00FC5165">
        <w:t>,</w:t>
      </w:r>
      <w:r>
        <w:t xml:space="preserve"> </w:t>
      </w:r>
      <w:r w:rsidR="00FC5165">
        <w:t>finding</w:t>
      </w:r>
      <w:r>
        <w:t xml:space="preserve"> the following:</w:t>
      </w:r>
    </w:p>
    <w:p w14:paraId="7C655234" w14:textId="77777777" w:rsidR="006A2D28" w:rsidRDefault="006A2D28" w:rsidP="006A2D28">
      <w:pPr>
        <w:spacing w:after="0"/>
        <w:jc w:val="both"/>
      </w:pPr>
    </w:p>
    <w:p w14:paraId="39A43C85" w14:textId="76E401A5" w:rsidR="00A44345" w:rsidRDefault="006A2D28" w:rsidP="006A2D28">
      <w:pPr>
        <w:spacing w:after="0"/>
        <w:ind w:left="720" w:right="720"/>
        <w:jc w:val="both"/>
      </w:pPr>
      <w:r w:rsidRPr="006A2D28">
        <w:rPr>
          <w:i/>
          <w:iCs/>
        </w:rPr>
        <w:t xml:space="preserve">The </w:t>
      </w:r>
      <w:r w:rsidR="00DB4309">
        <w:rPr>
          <w:i/>
          <w:iCs/>
        </w:rPr>
        <w:t>[State Department]</w:t>
      </w:r>
      <w:r w:rsidRPr="006A2D28">
        <w:rPr>
          <w:i/>
          <w:iCs/>
        </w:rPr>
        <w:t xml:space="preserve"> has determined that the Information and Software for a Digital Microwave Broadband Communications System for Space and Terrestrial Amateur Radio Use is not subject to its jurisdiction. However, the item is subject to the Export Administration Regulations (EAR) administered by the </w:t>
      </w:r>
      <w:r w:rsidR="00DB4309">
        <w:rPr>
          <w:i/>
          <w:iCs/>
        </w:rPr>
        <w:t>Commerce Department</w:t>
      </w:r>
      <w:r w:rsidRPr="006A2D28">
        <w:rPr>
          <w:i/>
          <w:iCs/>
        </w:rPr>
        <w:t xml:space="preserve">, Bureau of Industry and Security (BIS). </w:t>
      </w:r>
      <w:proofErr w:type="gramStart"/>
      <w:r w:rsidRPr="006A2D28">
        <w:rPr>
          <w:i/>
          <w:iCs/>
        </w:rPr>
        <w:t>In order to</w:t>
      </w:r>
      <w:proofErr w:type="gramEnd"/>
      <w:r w:rsidRPr="006A2D28">
        <w:rPr>
          <w:i/>
          <w:iCs/>
        </w:rPr>
        <w:t xml:space="preserve"> satisfy the applicable regulatory requirements of the EAR, BIS requires that you submit to it a classification request.</w:t>
      </w:r>
    </w:p>
    <w:p w14:paraId="50BD52F2" w14:textId="0A23E522" w:rsidR="006A2D28" w:rsidRDefault="006A2D28" w:rsidP="006A2D28">
      <w:pPr>
        <w:spacing w:after="0"/>
        <w:ind w:right="720"/>
        <w:jc w:val="both"/>
      </w:pPr>
    </w:p>
    <w:p w14:paraId="1E1A0D50" w14:textId="6E3F2802" w:rsidR="006A2D28" w:rsidRDefault="006A2D28" w:rsidP="00536BA3">
      <w:pPr>
        <w:spacing w:after="0"/>
        <w:jc w:val="both"/>
      </w:pPr>
      <w:r>
        <w:lastRenderedPageBreak/>
        <w:tab/>
        <w:t xml:space="preserve">Therefore, the </w:t>
      </w:r>
      <w:r w:rsidR="00DB4309">
        <w:t>State Department</w:t>
      </w:r>
      <w:r>
        <w:t xml:space="preserve"> does not have jurisdiction over ORI’s </w:t>
      </w:r>
      <w:r w:rsidR="00610162">
        <w:t>Data</w:t>
      </w:r>
      <w:r>
        <w:t xml:space="preserve">, but it is subject to the EAR </w:t>
      </w:r>
      <w:r w:rsidR="00E52A50">
        <w:t>administered by</w:t>
      </w:r>
      <w:r>
        <w:t xml:space="preserve"> the </w:t>
      </w:r>
      <w:r w:rsidR="00DB4309">
        <w:t>Commerce Department</w:t>
      </w:r>
      <w:r>
        <w:t xml:space="preserve">’s </w:t>
      </w:r>
      <w:r w:rsidR="005738F6">
        <w:t>BIS</w:t>
      </w:r>
      <w:r>
        <w:t xml:space="preserve">. The </w:t>
      </w:r>
      <w:r w:rsidR="005738F6">
        <w:t>DDTC</w:t>
      </w:r>
      <w:r>
        <w:t xml:space="preserve"> also advised ORI that a classification request was required.</w:t>
      </w:r>
    </w:p>
    <w:p w14:paraId="58165E47" w14:textId="6D2BAC19" w:rsidR="00530CB8" w:rsidRDefault="00530CB8" w:rsidP="00536BA3">
      <w:pPr>
        <w:spacing w:after="0"/>
        <w:jc w:val="both"/>
      </w:pPr>
    </w:p>
    <w:p w14:paraId="3F7620E9" w14:textId="5EE6FD82" w:rsidR="00530CB8" w:rsidRDefault="00530CB8" w:rsidP="00536BA3">
      <w:pPr>
        <w:spacing w:after="0"/>
        <w:jc w:val="both"/>
      </w:pPr>
      <w:r>
        <w:tab/>
        <w:t>The CJ Final Determination</w:t>
      </w:r>
      <w:r w:rsidR="006C655F">
        <w:t xml:space="preserve"> from DDTC</w:t>
      </w:r>
      <w:r>
        <w:t xml:space="preserve"> can be viewed </w:t>
      </w:r>
      <w:hyperlink r:id="rId14" w:history="1">
        <w:r w:rsidRPr="00530CB8">
          <w:rPr>
            <w:rStyle w:val="Hyperlink"/>
          </w:rPr>
          <w:t>here</w:t>
        </w:r>
      </w:hyperlink>
      <w:r>
        <w:t>.</w:t>
      </w:r>
    </w:p>
    <w:p w14:paraId="7CC79558" w14:textId="097A50F1" w:rsidR="006A2D28" w:rsidRDefault="006A2D28" w:rsidP="00536BA3">
      <w:pPr>
        <w:spacing w:after="0"/>
        <w:jc w:val="both"/>
      </w:pPr>
    </w:p>
    <w:p w14:paraId="707BDDBE" w14:textId="77777777" w:rsidR="001D3FB7" w:rsidRDefault="005D4798" w:rsidP="00536BA3">
      <w:pPr>
        <w:pStyle w:val="ListParagraph"/>
        <w:numPr>
          <w:ilvl w:val="0"/>
          <w:numId w:val="8"/>
        </w:numPr>
        <w:spacing w:after="0"/>
        <w:ind w:left="360"/>
        <w:jc w:val="both"/>
        <w:rPr>
          <w:b/>
          <w:bCs/>
        </w:rPr>
      </w:pPr>
      <w:r w:rsidRPr="00291F68">
        <w:rPr>
          <w:b/>
          <w:bCs/>
        </w:rPr>
        <w:t>COMMODITY CLASSIFICATION REQUEST</w:t>
      </w:r>
    </w:p>
    <w:p w14:paraId="347FD3C4" w14:textId="07EED070" w:rsidR="00291F68" w:rsidRPr="00DC0E91" w:rsidRDefault="00DB4309" w:rsidP="00536BA3">
      <w:pPr>
        <w:pStyle w:val="ListParagraph"/>
        <w:spacing w:after="0"/>
        <w:ind w:left="360"/>
        <w:jc w:val="both"/>
      </w:pPr>
      <w:r>
        <w:t>COMMERCE DEPARTMENT</w:t>
      </w:r>
      <w:r w:rsidR="00D42967" w:rsidRPr="00DC0E91">
        <w:t xml:space="preserve"> / BUREAU OF INDUSTRY AND SECURITY</w:t>
      </w:r>
    </w:p>
    <w:p w14:paraId="3FE82FB9" w14:textId="77777777" w:rsidR="00291F68" w:rsidRDefault="00291F68" w:rsidP="00536BA3">
      <w:pPr>
        <w:spacing w:after="0"/>
        <w:jc w:val="both"/>
      </w:pPr>
    </w:p>
    <w:p w14:paraId="523B2470" w14:textId="551B1252" w:rsidR="006A2D28" w:rsidRPr="00291F68" w:rsidRDefault="006A2D28" w:rsidP="00536BA3">
      <w:pPr>
        <w:pStyle w:val="ListParagraph"/>
        <w:numPr>
          <w:ilvl w:val="0"/>
          <w:numId w:val="12"/>
        </w:numPr>
        <w:spacing w:after="0"/>
        <w:ind w:left="1080" w:hanging="720"/>
        <w:jc w:val="both"/>
        <w:rPr>
          <w:b/>
          <w:bCs/>
        </w:rPr>
      </w:pPr>
      <w:r w:rsidRPr="00291F68">
        <w:rPr>
          <w:b/>
          <w:bCs/>
        </w:rPr>
        <w:t>What is a Commodity Classification Request?</w:t>
      </w:r>
    </w:p>
    <w:p w14:paraId="78FA5323" w14:textId="77777777" w:rsidR="00AE44CF" w:rsidRDefault="00AE44CF" w:rsidP="00536BA3">
      <w:pPr>
        <w:spacing w:after="0"/>
        <w:ind w:firstLine="720"/>
        <w:jc w:val="both"/>
      </w:pPr>
    </w:p>
    <w:p w14:paraId="0EDB3CF7" w14:textId="0E412F23" w:rsidR="006A2D28" w:rsidRDefault="00D334E7" w:rsidP="00536BA3">
      <w:pPr>
        <w:spacing w:after="0"/>
        <w:ind w:firstLine="720"/>
        <w:jc w:val="both"/>
      </w:pPr>
      <w:r>
        <w:t xml:space="preserve">When an item is subject to the jurisdiction of the </w:t>
      </w:r>
      <w:r w:rsidR="00DB4309">
        <w:t>Commerce Department</w:t>
      </w:r>
      <w:r>
        <w:t>, a</w:t>
      </w:r>
      <w:r w:rsidR="006A2D28">
        <w:t xml:space="preserve"> </w:t>
      </w:r>
      <w:r w:rsidR="00934854">
        <w:t>CCR</w:t>
      </w:r>
      <w:r w:rsidR="006A2D28">
        <w:t xml:space="preserve"> </w:t>
      </w:r>
      <w:r>
        <w:t xml:space="preserve">is used to determine if the item has a specific </w:t>
      </w:r>
      <w:r w:rsidR="00934854">
        <w:t>ECCN</w:t>
      </w:r>
      <w:r>
        <w:t xml:space="preserve"> that is found on the CCL, or if it is designated EAR99</w:t>
      </w:r>
      <w:r w:rsidR="00E52A50">
        <w:t>.</w:t>
      </w:r>
    </w:p>
    <w:p w14:paraId="2EB9E5A8" w14:textId="2CAC3387" w:rsidR="006A2D28" w:rsidRDefault="006A2D28" w:rsidP="00536BA3">
      <w:pPr>
        <w:spacing w:after="0"/>
        <w:jc w:val="both"/>
      </w:pPr>
    </w:p>
    <w:p w14:paraId="65417F2F" w14:textId="40012105" w:rsidR="006A2D28" w:rsidRPr="00291F68" w:rsidRDefault="006A2D28" w:rsidP="00536BA3">
      <w:pPr>
        <w:pStyle w:val="ListParagraph"/>
        <w:numPr>
          <w:ilvl w:val="0"/>
          <w:numId w:val="12"/>
        </w:numPr>
        <w:spacing w:after="0"/>
        <w:ind w:left="1080" w:hanging="720"/>
        <w:jc w:val="both"/>
        <w:rPr>
          <w:b/>
          <w:bCs/>
        </w:rPr>
      </w:pPr>
      <w:r w:rsidRPr="00291F68">
        <w:rPr>
          <w:b/>
          <w:bCs/>
        </w:rPr>
        <w:t xml:space="preserve">Why did ORI </w:t>
      </w:r>
      <w:r w:rsidR="0031236D" w:rsidRPr="00291F68">
        <w:rPr>
          <w:b/>
          <w:bCs/>
        </w:rPr>
        <w:t>S</w:t>
      </w:r>
      <w:r w:rsidRPr="00291F68">
        <w:rPr>
          <w:b/>
          <w:bCs/>
        </w:rPr>
        <w:t xml:space="preserve">ubmit a </w:t>
      </w:r>
      <w:r w:rsidR="003F78BD">
        <w:rPr>
          <w:b/>
          <w:bCs/>
        </w:rPr>
        <w:t>Commodity Classification Request</w:t>
      </w:r>
      <w:r w:rsidRPr="00291F68">
        <w:rPr>
          <w:b/>
          <w:bCs/>
        </w:rPr>
        <w:t>?</w:t>
      </w:r>
    </w:p>
    <w:p w14:paraId="71482B75" w14:textId="78B8224F" w:rsidR="006A2D28" w:rsidRDefault="006A2D28" w:rsidP="00536BA3">
      <w:pPr>
        <w:spacing w:after="0"/>
        <w:jc w:val="both"/>
      </w:pPr>
    </w:p>
    <w:p w14:paraId="4B0925D0" w14:textId="118FFEB4" w:rsidR="006A2D28" w:rsidRDefault="006A2D28" w:rsidP="00536BA3">
      <w:pPr>
        <w:spacing w:after="0"/>
        <w:ind w:firstLine="720"/>
        <w:jc w:val="both"/>
      </w:pPr>
      <w:r>
        <w:t xml:space="preserve">ORI submitted </w:t>
      </w:r>
      <w:r w:rsidR="00FC5165">
        <w:t xml:space="preserve">a </w:t>
      </w:r>
      <w:r>
        <w:t>CCR</w:t>
      </w:r>
      <w:r w:rsidR="003C767B">
        <w:t xml:space="preserve"> </w:t>
      </w:r>
      <w:r>
        <w:t xml:space="preserve">to determine </w:t>
      </w:r>
      <w:r w:rsidR="00D334E7">
        <w:t xml:space="preserve">whether authorization was required to export its </w:t>
      </w:r>
      <w:r w:rsidR="00823DE1">
        <w:t>Data</w:t>
      </w:r>
      <w:r w:rsidR="00D334E7">
        <w:t xml:space="preserve">. Additionally, the </w:t>
      </w:r>
      <w:r w:rsidR="00DB4309">
        <w:t>State Department</w:t>
      </w:r>
      <w:r w:rsidR="00D334E7">
        <w:t xml:space="preserve"> advised ORI in its CJ determination that a classification request was required.</w:t>
      </w:r>
    </w:p>
    <w:p w14:paraId="735F731F" w14:textId="2FD0747C" w:rsidR="00000A29" w:rsidRDefault="00000A29" w:rsidP="00536BA3">
      <w:pPr>
        <w:spacing w:after="0"/>
        <w:ind w:firstLine="720"/>
        <w:jc w:val="both"/>
      </w:pPr>
    </w:p>
    <w:p w14:paraId="6B117536" w14:textId="1BD50577" w:rsidR="00000A29" w:rsidRDefault="00000A29" w:rsidP="00536BA3">
      <w:pPr>
        <w:spacing w:after="0"/>
        <w:ind w:firstLine="720"/>
        <w:jc w:val="both"/>
      </w:pPr>
      <w:r>
        <w:t xml:space="preserve">ORI submitted CCR </w:t>
      </w:r>
      <w:commentRangeStart w:id="2"/>
      <w:commentRangeStart w:id="3"/>
      <w:r>
        <w:t xml:space="preserve">Z1667514 </w:t>
      </w:r>
      <w:commentRangeEnd w:id="2"/>
      <w:r w:rsidR="00217454">
        <w:rPr>
          <w:rStyle w:val="CommentReference"/>
        </w:rPr>
        <w:commentReference w:id="2"/>
      </w:r>
      <w:commentRangeEnd w:id="3"/>
      <w:r w:rsidR="00E52A50">
        <w:rPr>
          <w:rStyle w:val="CommentReference"/>
        </w:rPr>
        <w:commentReference w:id="3"/>
      </w:r>
      <w:r>
        <w:t>on October 5, 2020.</w:t>
      </w:r>
    </w:p>
    <w:p w14:paraId="26719D4A" w14:textId="039BD83A" w:rsidR="006A2D28" w:rsidRDefault="006A2D28" w:rsidP="00536BA3">
      <w:pPr>
        <w:spacing w:after="0"/>
        <w:jc w:val="both"/>
      </w:pPr>
    </w:p>
    <w:p w14:paraId="0CC2E311" w14:textId="405B01D2" w:rsidR="00E27A79" w:rsidRPr="00291F68" w:rsidRDefault="005738F6" w:rsidP="00536BA3">
      <w:pPr>
        <w:pStyle w:val="ListParagraph"/>
        <w:numPr>
          <w:ilvl w:val="0"/>
          <w:numId w:val="12"/>
        </w:numPr>
        <w:spacing w:after="0"/>
        <w:ind w:left="1080" w:hanging="720"/>
        <w:jc w:val="both"/>
        <w:rPr>
          <w:b/>
          <w:bCs/>
        </w:rPr>
      </w:pPr>
      <w:r w:rsidRPr="00291F68">
        <w:rPr>
          <w:b/>
          <w:bCs/>
        </w:rPr>
        <w:t xml:space="preserve">What </w:t>
      </w:r>
      <w:r w:rsidR="0031236D" w:rsidRPr="00291F68">
        <w:rPr>
          <w:b/>
          <w:bCs/>
        </w:rPr>
        <w:t>were</w:t>
      </w:r>
      <w:r w:rsidRPr="00291F68">
        <w:rPr>
          <w:b/>
          <w:bCs/>
        </w:rPr>
        <w:t xml:space="preserve"> BIS’s </w:t>
      </w:r>
      <w:r w:rsidR="0031236D" w:rsidRPr="00291F68">
        <w:rPr>
          <w:b/>
          <w:bCs/>
        </w:rPr>
        <w:t>C</w:t>
      </w:r>
      <w:r w:rsidRPr="00291F68">
        <w:rPr>
          <w:b/>
          <w:bCs/>
        </w:rPr>
        <w:t>lassification</w:t>
      </w:r>
      <w:r w:rsidR="0031236D" w:rsidRPr="00291F68">
        <w:rPr>
          <w:b/>
          <w:bCs/>
        </w:rPr>
        <w:t>s</w:t>
      </w:r>
      <w:r w:rsidRPr="00291F68">
        <w:rPr>
          <w:b/>
          <w:bCs/>
        </w:rPr>
        <w:t>?</w:t>
      </w:r>
    </w:p>
    <w:p w14:paraId="19910036" w14:textId="6AC1DEA6" w:rsidR="005738F6" w:rsidRDefault="005738F6" w:rsidP="00536BA3">
      <w:pPr>
        <w:spacing w:after="0"/>
        <w:jc w:val="both"/>
      </w:pPr>
    </w:p>
    <w:p w14:paraId="2A8767A3" w14:textId="50822069" w:rsidR="005738F6" w:rsidRDefault="00C45BC8" w:rsidP="00536BA3">
      <w:pPr>
        <w:spacing w:after="0"/>
        <w:jc w:val="both"/>
      </w:pPr>
      <w:r>
        <w:tab/>
      </w:r>
      <w:r w:rsidR="003C767B">
        <w:t xml:space="preserve">On January 26, 2021, BIS classified the ORI items in </w:t>
      </w:r>
      <w:r w:rsidR="002F423A" w:rsidRPr="002F423A">
        <w:t>Commodity Classification Automated Tracking System</w:t>
      </w:r>
      <w:r w:rsidR="002F423A">
        <w:t xml:space="preserve"> (“</w:t>
      </w:r>
      <w:r w:rsidR="003C767B">
        <w:t>CCATS</w:t>
      </w:r>
      <w:r w:rsidR="002F423A">
        <w:t>”) number</w:t>
      </w:r>
      <w:r w:rsidR="003C767B">
        <w:t xml:space="preserve"> G185407 as follows:</w:t>
      </w:r>
    </w:p>
    <w:p w14:paraId="2B223FCD" w14:textId="77777777" w:rsidR="00E52A50" w:rsidRDefault="00E52A50" w:rsidP="00536BA3">
      <w:pPr>
        <w:spacing w:after="0"/>
        <w:jc w:val="both"/>
      </w:pPr>
    </w:p>
    <w:p w14:paraId="76D0CA64" w14:textId="43C83393" w:rsidR="003C767B" w:rsidRPr="003C767B" w:rsidRDefault="003C767B" w:rsidP="00536BA3">
      <w:pPr>
        <w:pStyle w:val="ListParagraph"/>
        <w:numPr>
          <w:ilvl w:val="0"/>
          <w:numId w:val="3"/>
        </w:numPr>
        <w:spacing w:after="0"/>
        <w:jc w:val="both"/>
        <w:rPr>
          <w:b/>
          <w:bCs/>
        </w:rPr>
      </w:pPr>
      <w:r w:rsidRPr="003C767B">
        <w:t xml:space="preserve">ORI Satellite and Ground Station Technology – </w:t>
      </w:r>
      <w:r w:rsidRPr="003C767B">
        <w:rPr>
          <w:b/>
          <w:bCs/>
        </w:rPr>
        <w:t>ECCN 9E515.</w:t>
      </w:r>
      <w:proofErr w:type="gramStart"/>
      <w:r w:rsidRPr="003C767B">
        <w:rPr>
          <w:b/>
          <w:bCs/>
        </w:rPr>
        <w:t>a</w:t>
      </w:r>
      <w:r>
        <w:t>;</w:t>
      </w:r>
      <w:proofErr w:type="gramEnd"/>
    </w:p>
    <w:p w14:paraId="42F160A1" w14:textId="2AE5703E" w:rsidR="003C767B" w:rsidRPr="003C767B" w:rsidRDefault="003C767B" w:rsidP="00536BA3">
      <w:pPr>
        <w:pStyle w:val="ListParagraph"/>
        <w:numPr>
          <w:ilvl w:val="0"/>
          <w:numId w:val="3"/>
        </w:numPr>
        <w:spacing w:after="0"/>
        <w:jc w:val="both"/>
        <w:rPr>
          <w:b/>
          <w:bCs/>
        </w:rPr>
      </w:pPr>
      <w:r w:rsidRPr="003C767B">
        <w:t xml:space="preserve">ORI Software (Binary) – </w:t>
      </w:r>
      <w:r w:rsidRPr="003C767B">
        <w:rPr>
          <w:b/>
          <w:bCs/>
        </w:rPr>
        <w:t>ECCN 9D515.</w:t>
      </w:r>
      <w:proofErr w:type="gramStart"/>
      <w:r w:rsidRPr="003C767B">
        <w:rPr>
          <w:b/>
          <w:bCs/>
        </w:rPr>
        <w:t>a</w:t>
      </w:r>
      <w:r>
        <w:t>;</w:t>
      </w:r>
      <w:proofErr w:type="gramEnd"/>
    </w:p>
    <w:p w14:paraId="4114D588" w14:textId="3F0FB963" w:rsidR="003C767B" w:rsidRPr="003C767B" w:rsidRDefault="003C767B" w:rsidP="00536BA3">
      <w:pPr>
        <w:pStyle w:val="ListParagraph"/>
        <w:numPr>
          <w:ilvl w:val="0"/>
          <w:numId w:val="3"/>
        </w:numPr>
        <w:spacing w:after="0"/>
        <w:jc w:val="both"/>
        <w:rPr>
          <w:b/>
          <w:bCs/>
        </w:rPr>
      </w:pPr>
      <w:r w:rsidRPr="003C767B">
        <w:t xml:space="preserve">ORI Technology for the ORI Software (Binary) – </w:t>
      </w:r>
      <w:r w:rsidRPr="003C767B">
        <w:rPr>
          <w:b/>
          <w:bCs/>
        </w:rPr>
        <w:t>ECCN 9E515.</w:t>
      </w:r>
      <w:proofErr w:type="gramStart"/>
      <w:r w:rsidRPr="003C767B">
        <w:rPr>
          <w:b/>
          <w:bCs/>
        </w:rPr>
        <w:t>a</w:t>
      </w:r>
      <w:r>
        <w:t>;</w:t>
      </w:r>
      <w:proofErr w:type="gramEnd"/>
    </w:p>
    <w:p w14:paraId="5750A277" w14:textId="0F6BFEBB" w:rsidR="003C767B" w:rsidRPr="003C767B" w:rsidRDefault="003C767B" w:rsidP="00536BA3">
      <w:pPr>
        <w:pStyle w:val="ListParagraph"/>
        <w:numPr>
          <w:ilvl w:val="0"/>
          <w:numId w:val="3"/>
        </w:numPr>
        <w:spacing w:after="0"/>
        <w:jc w:val="both"/>
        <w:rPr>
          <w:b/>
          <w:bCs/>
          <w:lang w:val="fr-FR"/>
        </w:rPr>
      </w:pPr>
      <w:r w:rsidRPr="003C767B">
        <w:rPr>
          <w:lang w:val="fr-FR"/>
        </w:rPr>
        <w:t xml:space="preserve">ORI Software Source Code – </w:t>
      </w:r>
      <w:r w:rsidRPr="003C767B">
        <w:rPr>
          <w:b/>
          <w:bCs/>
          <w:lang w:val="fr-FR"/>
        </w:rPr>
        <w:t>ECCN 9D515.b.2</w:t>
      </w:r>
      <w:r w:rsidRPr="003C767B">
        <w:rPr>
          <w:lang w:val="fr-FR"/>
        </w:rPr>
        <w:t>;</w:t>
      </w:r>
      <w:r>
        <w:rPr>
          <w:lang w:val="fr-FR"/>
        </w:rPr>
        <w:t xml:space="preserve"> and</w:t>
      </w:r>
    </w:p>
    <w:p w14:paraId="053BF908" w14:textId="5E911B17" w:rsidR="003C767B" w:rsidRPr="003C767B" w:rsidRDefault="003C767B" w:rsidP="00536BA3">
      <w:pPr>
        <w:pStyle w:val="ListParagraph"/>
        <w:numPr>
          <w:ilvl w:val="0"/>
          <w:numId w:val="3"/>
        </w:numPr>
        <w:spacing w:after="0"/>
        <w:jc w:val="both"/>
      </w:pPr>
      <w:r w:rsidRPr="003C767B">
        <w:t xml:space="preserve">ORI Technology for the ORI Software Source Code – </w:t>
      </w:r>
      <w:r w:rsidRPr="003C767B">
        <w:rPr>
          <w:b/>
          <w:bCs/>
        </w:rPr>
        <w:t>ECCN 9E515.b</w:t>
      </w:r>
      <w:r>
        <w:rPr>
          <w:b/>
          <w:bCs/>
        </w:rPr>
        <w:t>.</w:t>
      </w:r>
    </w:p>
    <w:p w14:paraId="7FC918F1" w14:textId="75A79F46" w:rsidR="003C767B" w:rsidRDefault="003C767B" w:rsidP="00536BA3">
      <w:pPr>
        <w:spacing w:after="0"/>
        <w:jc w:val="both"/>
      </w:pPr>
    </w:p>
    <w:p w14:paraId="6FF527B4" w14:textId="141112D3" w:rsidR="00C45BC8" w:rsidRDefault="00C5116F" w:rsidP="00536BA3">
      <w:pPr>
        <w:spacing w:after="0"/>
        <w:jc w:val="both"/>
      </w:pPr>
      <w:r>
        <w:tab/>
      </w:r>
      <w:r w:rsidR="00C45BC8">
        <w:t>The licensing officer(s) also provided the following comment for each item:</w:t>
      </w:r>
    </w:p>
    <w:p w14:paraId="389C1702" w14:textId="572B7EB8" w:rsidR="00C45BC8" w:rsidRDefault="00C45BC8" w:rsidP="00C45BC8">
      <w:pPr>
        <w:spacing w:after="0"/>
        <w:ind w:right="720"/>
        <w:jc w:val="both"/>
      </w:pPr>
    </w:p>
    <w:p w14:paraId="3AA92E43" w14:textId="0EA1943A" w:rsidR="00C45BC8" w:rsidRPr="00C45BC8" w:rsidRDefault="00C45BC8" w:rsidP="00C45BC8">
      <w:pPr>
        <w:spacing w:after="0"/>
        <w:ind w:left="720" w:right="1440"/>
        <w:jc w:val="both"/>
        <w:rPr>
          <w:i/>
          <w:iCs/>
        </w:rPr>
      </w:pPr>
      <w:r w:rsidRPr="00C45BC8">
        <w:rPr>
          <w:i/>
          <w:iCs/>
        </w:rPr>
        <w:t xml:space="preserve">Based on the information provided, this item is classified under ECCN [9D/E515] and is controlled for National Security, Regional Stability and Anti-Terrorism reasons with NS Column 1, RS Column </w:t>
      </w:r>
      <w:proofErr w:type="gramStart"/>
      <w:r w:rsidRPr="00C45BC8">
        <w:rPr>
          <w:i/>
          <w:iCs/>
        </w:rPr>
        <w:t>1</w:t>
      </w:r>
      <w:proofErr w:type="gramEnd"/>
      <w:r w:rsidRPr="00C45BC8">
        <w:rPr>
          <w:i/>
          <w:iCs/>
        </w:rPr>
        <w:t xml:space="preserve"> and AT Column 1 license requirements. In addition, the application must also comply with General Prohibitions four (4) through (10) listed in Part 736 of the Export Administration Regulations. Items otherwise eligible for export under NLR may require a license if the exporter knows or is informed that the items will be used in prohibited chemical biological or nuclear weapons or missile activities or other prohibited end-users or end-uses as defined in Part 744 of the EAR.</w:t>
      </w:r>
    </w:p>
    <w:p w14:paraId="67C026BF" w14:textId="519B57A2" w:rsidR="00C45BC8" w:rsidRDefault="00C45BC8" w:rsidP="00C45BC8">
      <w:pPr>
        <w:spacing w:after="0"/>
        <w:ind w:right="720"/>
        <w:jc w:val="both"/>
      </w:pPr>
    </w:p>
    <w:p w14:paraId="4F7DD16B" w14:textId="772097D0" w:rsidR="00C45BC8" w:rsidRDefault="002F423A" w:rsidP="00536BA3">
      <w:pPr>
        <w:spacing w:after="0"/>
        <w:ind w:right="90"/>
        <w:jc w:val="both"/>
      </w:pPr>
      <w:r>
        <w:tab/>
        <w:t xml:space="preserve">However, the classifications of these items did not cover the unclassified technology or software that </w:t>
      </w:r>
      <w:r w:rsidR="00E52A50">
        <w:t>has been</w:t>
      </w:r>
      <w:r>
        <w:t xml:space="preserve"> “</w:t>
      </w:r>
      <w:r w:rsidR="00E52A50">
        <w:t>p</w:t>
      </w:r>
      <w:r>
        <w:t>ublished” by ORI.</w:t>
      </w:r>
      <w:r w:rsidR="00E52A50">
        <w:t xml:space="preserve"> See the Advisory Opinion </w:t>
      </w:r>
      <w:proofErr w:type="gramStart"/>
      <w:r w:rsidR="00E52A50">
        <w:t>discussion</w:t>
      </w:r>
      <w:proofErr w:type="gramEnd"/>
      <w:r w:rsidR="00E52A50">
        <w:t xml:space="preserve"> in Section 3), below.</w:t>
      </w:r>
    </w:p>
    <w:p w14:paraId="18946D15" w14:textId="11298224" w:rsidR="009F59BC" w:rsidRDefault="009F59BC" w:rsidP="00536BA3">
      <w:pPr>
        <w:spacing w:after="0"/>
        <w:ind w:right="90"/>
        <w:jc w:val="both"/>
      </w:pPr>
    </w:p>
    <w:p w14:paraId="00726BCF" w14:textId="647F1890" w:rsidR="009F59BC" w:rsidRDefault="009F59BC" w:rsidP="00536BA3">
      <w:pPr>
        <w:spacing w:after="0"/>
        <w:ind w:right="90"/>
        <w:jc w:val="both"/>
      </w:pPr>
      <w:r>
        <w:tab/>
        <w:t>CCATS</w:t>
      </w:r>
      <w:r w:rsidR="000E19D6">
        <w:t xml:space="preserve"> G185407</w:t>
      </w:r>
      <w:r>
        <w:t xml:space="preserve"> </w:t>
      </w:r>
      <w:r w:rsidR="006C655F">
        <w:t xml:space="preserve">from BIS </w:t>
      </w:r>
      <w:r>
        <w:t xml:space="preserve">can be viewed </w:t>
      </w:r>
      <w:hyperlink r:id="rId15" w:history="1">
        <w:r w:rsidRPr="009F59BC">
          <w:rPr>
            <w:rStyle w:val="Hyperlink"/>
          </w:rPr>
          <w:t>here</w:t>
        </w:r>
      </w:hyperlink>
      <w:r>
        <w:t>.</w:t>
      </w:r>
    </w:p>
    <w:p w14:paraId="1A9A7D5C" w14:textId="5C63B76F" w:rsidR="002F423A" w:rsidRDefault="002F423A" w:rsidP="00536BA3">
      <w:pPr>
        <w:spacing w:after="0"/>
        <w:ind w:right="90"/>
        <w:jc w:val="both"/>
      </w:pPr>
    </w:p>
    <w:p w14:paraId="615DA0F2" w14:textId="77777777" w:rsidR="001D3FB7" w:rsidRDefault="005D4798" w:rsidP="00536BA3">
      <w:pPr>
        <w:pStyle w:val="ListParagraph"/>
        <w:numPr>
          <w:ilvl w:val="0"/>
          <w:numId w:val="8"/>
        </w:numPr>
        <w:spacing w:after="0"/>
        <w:ind w:left="360" w:right="90"/>
        <w:jc w:val="both"/>
        <w:rPr>
          <w:b/>
          <w:bCs/>
        </w:rPr>
      </w:pPr>
      <w:r w:rsidRPr="00291F68">
        <w:rPr>
          <w:b/>
          <w:bCs/>
        </w:rPr>
        <w:t>ADVISORY OPINION</w:t>
      </w:r>
      <w:r>
        <w:rPr>
          <w:b/>
          <w:bCs/>
        </w:rPr>
        <w:t xml:space="preserve"> REQUEST</w:t>
      </w:r>
    </w:p>
    <w:p w14:paraId="72764B50" w14:textId="77D625AC" w:rsidR="001D3FB7" w:rsidRPr="00DC0E91" w:rsidRDefault="00DB4309" w:rsidP="00536BA3">
      <w:pPr>
        <w:pStyle w:val="ListParagraph"/>
        <w:spacing w:after="0"/>
        <w:ind w:left="360" w:right="90"/>
        <w:jc w:val="both"/>
      </w:pPr>
      <w:r>
        <w:t>COMMERCE DEPARTMENT</w:t>
      </w:r>
      <w:r w:rsidR="00D42967" w:rsidRPr="00DC0E91">
        <w:t xml:space="preserve"> / BUREAU OF INDUSTRY AND SECURITY</w:t>
      </w:r>
    </w:p>
    <w:p w14:paraId="4E01E971" w14:textId="77777777" w:rsidR="00291F68" w:rsidRDefault="00291F68" w:rsidP="00536BA3">
      <w:pPr>
        <w:spacing w:after="0"/>
        <w:ind w:right="90"/>
        <w:jc w:val="both"/>
      </w:pPr>
    </w:p>
    <w:p w14:paraId="18B9E3FC" w14:textId="71807214" w:rsidR="002F423A" w:rsidRPr="00291F68" w:rsidRDefault="002F423A" w:rsidP="00536BA3">
      <w:pPr>
        <w:pStyle w:val="ListParagraph"/>
        <w:numPr>
          <w:ilvl w:val="0"/>
          <w:numId w:val="13"/>
        </w:numPr>
        <w:spacing w:after="0"/>
        <w:ind w:left="1080" w:right="90" w:hanging="720"/>
        <w:jc w:val="both"/>
        <w:rPr>
          <w:b/>
          <w:bCs/>
        </w:rPr>
      </w:pPr>
      <w:r w:rsidRPr="00291F68">
        <w:rPr>
          <w:b/>
          <w:bCs/>
        </w:rPr>
        <w:t>What is “Published”</w:t>
      </w:r>
      <w:r w:rsidR="00E52A50">
        <w:rPr>
          <w:b/>
          <w:bCs/>
        </w:rPr>
        <w:t xml:space="preserve"> information</w:t>
      </w:r>
      <w:r w:rsidRPr="00291F68">
        <w:rPr>
          <w:b/>
          <w:bCs/>
        </w:rPr>
        <w:t>?</w:t>
      </w:r>
    </w:p>
    <w:p w14:paraId="1A386575" w14:textId="0098F47A" w:rsidR="002F423A" w:rsidRDefault="002F423A" w:rsidP="00536BA3">
      <w:pPr>
        <w:spacing w:after="0"/>
        <w:ind w:right="90"/>
        <w:jc w:val="both"/>
      </w:pPr>
    </w:p>
    <w:p w14:paraId="06E79DED" w14:textId="0631BFF6" w:rsidR="002F423A" w:rsidRDefault="002F423A" w:rsidP="00536BA3">
      <w:pPr>
        <w:spacing w:after="0"/>
        <w:ind w:right="90"/>
        <w:jc w:val="both"/>
      </w:pPr>
      <w:r>
        <w:tab/>
        <w:t>The EAR has a specific provision regarding “published” i</w:t>
      </w:r>
      <w:r w:rsidR="00E52A50">
        <w:t>nformation</w:t>
      </w:r>
      <w:r>
        <w:t xml:space="preserve">, which </w:t>
      </w:r>
      <w:r w:rsidR="00E52A50">
        <w:t>is</w:t>
      </w:r>
      <w:r>
        <w:t xml:space="preserve"> </w:t>
      </w:r>
      <w:r w:rsidRPr="002F423A">
        <w:rPr>
          <w:b/>
          <w:bCs/>
          <w:u w:val="single"/>
        </w:rPr>
        <w:t>not</w:t>
      </w:r>
      <w:r>
        <w:t xml:space="preserve"> subject to the EAR </w:t>
      </w:r>
      <w:r w:rsidR="00FC5165">
        <w:t>pursuant to</w:t>
      </w:r>
      <w:r>
        <w:t xml:space="preserve"> Section 734.7:</w:t>
      </w:r>
    </w:p>
    <w:p w14:paraId="0BD49F23" w14:textId="76E9C1C7" w:rsidR="002F423A" w:rsidRDefault="002F423A" w:rsidP="00536BA3">
      <w:pPr>
        <w:spacing w:after="0"/>
        <w:ind w:right="90"/>
        <w:jc w:val="both"/>
      </w:pPr>
    </w:p>
    <w:p w14:paraId="723EC352" w14:textId="3D9DE90E" w:rsidR="002F423A" w:rsidRDefault="00E52A50" w:rsidP="002F423A">
      <w:pPr>
        <w:pStyle w:val="ListParagraph"/>
        <w:numPr>
          <w:ilvl w:val="0"/>
          <w:numId w:val="4"/>
        </w:numPr>
        <w:spacing w:after="0"/>
        <w:ind w:right="1440"/>
        <w:jc w:val="both"/>
        <w:rPr>
          <w:i/>
          <w:iCs/>
        </w:rPr>
      </w:pPr>
      <w:r>
        <w:rPr>
          <w:i/>
          <w:iCs/>
        </w:rPr>
        <w:t xml:space="preserve">… </w:t>
      </w:r>
      <w:r w:rsidR="002F423A" w:rsidRPr="002F423A">
        <w:rPr>
          <w:i/>
          <w:iCs/>
        </w:rPr>
        <w:t xml:space="preserve">unclassified “technology” or “software” is “published,” and is thus not “technology” or “software” subject to the EAR, when it has been </w:t>
      </w:r>
      <w:r w:rsidR="002F423A" w:rsidRPr="002F423A">
        <w:rPr>
          <w:b/>
          <w:bCs/>
          <w:i/>
          <w:iCs/>
          <w:u w:val="single"/>
        </w:rPr>
        <w:t>made available to the public without restrictions upon its further dissemination</w:t>
      </w:r>
      <w:r w:rsidR="002F423A" w:rsidRPr="002F423A">
        <w:rPr>
          <w:i/>
          <w:iCs/>
        </w:rPr>
        <w:t xml:space="preserve"> such as through any of the following:</w:t>
      </w:r>
    </w:p>
    <w:p w14:paraId="70F1D62A" w14:textId="77777777" w:rsidR="002F423A" w:rsidRDefault="002F423A" w:rsidP="002F423A">
      <w:pPr>
        <w:pStyle w:val="ListParagraph"/>
        <w:spacing w:after="0"/>
        <w:ind w:left="1080" w:right="1440"/>
        <w:jc w:val="both"/>
        <w:rPr>
          <w:i/>
          <w:iCs/>
        </w:rPr>
      </w:pPr>
    </w:p>
    <w:p w14:paraId="5585324D" w14:textId="08B1EE57" w:rsidR="002F423A" w:rsidRDefault="002F423A" w:rsidP="002F423A">
      <w:pPr>
        <w:pStyle w:val="ListParagraph"/>
        <w:numPr>
          <w:ilvl w:val="2"/>
          <w:numId w:val="4"/>
        </w:numPr>
        <w:spacing w:after="0"/>
        <w:ind w:left="2160" w:right="1440" w:hanging="540"/>
        <w:jc w:val="both"/>
        <w:rPr>
          <w:i/>
          <w:iCs/>
        </w:rPr>
      </w:pPr>
      <w:r w:rsidRPr="002F423A">
        <w:rPr>
          <w:i/>
          <w:iCs/>
        </w:rPr>
        <w:t xml:space="preserve">Subscriptions available without restriction to any individual who desires to obtain or purchase the published </w:t>
      </w:r>
      <w:proofErr w:type="gramStart"/>
      <w:r w:rsidRPr="002F423A">
        <w:rPr>
          <w:i/>
          <w:iCs/>
        </w:rPr>
        <w:t>information;</w:t>
      </w:r>
      <w:proofErr w:type="gramEnd"/>
    </w:p>
    <w:p w14:paraId="2D11346E" w14:textId="77777777" w:rsidR="002F423A" w:rsidRPr="002F423A" w:rsidRDefault="002F423A" w:rsidP="002F423A">
      <w:pPr>
        <w:pStyle w:val="ListParagraph"/>
        <w:spacing w:after="0"/>
        <w:ind w:left="2160" w:right="1440"/>
        <w:jc w:val="both"/>
        <w:rPr>
          <w:i/>
          <w:iCs/>
        </w:rPr>
      </w:pPr>
    </w:p>
    <w:p w14:paraId="71E78F4F" w14:textId="08153BFA" w:rsidR="002F423A" w:rsidRDefault="002F423A" w:rsidP="002F423A">
      <w:pPr>
        <w:pStyle w:val="ListParagraph"/>
        <w:numPr>
          <w:ilvl w:val="2"/>
          <w:numId w:val="4"/>
        </w:numPr>
        <w:spacing w:after="0"/>
        <w:ind w:left="2160" w:right="1440" w:hanging="540"/>
        <w:jc w:val="both"/>
        <w:rPr>
          <w:i/>
          <w:iCs/>
        </w:rPr>
      </w:pPr>
      <w:r w:rsidRPr="002F423A">
        <w:rPr>
          <w:i/>
          <w:iCs/>
        </w:rPr>
        <w:t xml:space="preserve">Libraries or other public collections that are open and available to the public, and from which the public can obtain tangible or intangible </w:t>
      </w:r>
      <w:proofErr w:type="gramStart"/>
      <w:r w:rsidRPr="002F423A">
        <w:rPr>
          <w:i/>
          <w:iCs/>
        </w:rPr>
        <w:t>documents;</w:t>
      </w:r>
      <w:proofErr w:type="gramEnd"/>
    </w:p>
    <w:p w14:paraId="31AA9B65" w14:textId="77777777" w:rsidR="002F423A" w:rsidRPr="002F423A" w:rsidRDefault="002F423A" w:rsidP="002F423A">
      <w:pPr>
        <w:spacing w:after="0"/>
        <w:ind w:right="1440"/>
        <w:jc w:val="both"/>
        <w:rPr>
          <w:i/>
          <w:iCs/>
        </w:rPr>
      </w:pPr>
    </w:p>
    <w:p w14:paraId="5B71B3A6" w14:textId="3ECBA9D0" w:rsidR="002F423A" w:rsidRDefault="002F423A" w:rsidP="002F423A">
      <w:pPr>
        <w:pStyle w:val="ListParagraph"/>
        <w:numPr>
          <w:ilvl w:val="2"/>
          <w:numId w:val="4"/>
        </w:numPr>
        <w:spacing w:after="0"/>
        <w:ind w:left="2160" w:right="1440" w:hanging="540"/>
        <w:jc w:val="both"/>
        <w:rPr>
          <w:i/>
          <w:iCs/>
        </w:rPr>
      </w:pPr>
      <w:r w:rsidRPr="002F423A">
        <w:rPr>
          <w:i/>
          <w:iCs/>
        </w:rPr>
        <w:t xml:space="preserve">Unlimited distribution at a conference, meeting, seminar, trade show, or exhibition, generally accessible to the interested </w:t>
      </w:r>
      <w:proofErr w:type="gramStart"/>
      <w:r w:rsidRPr="002F423A">
        <w:rPr>
          <w:i/>
          <w:iCs/>
        </w:rPr>
        <w:t>public;</w:t>
      </w:r>
      <w:proofErr w:type="gramEnd"/>
    </w:p>
    <w:p w14:paraId="263E6023" w14:textId="77777777" w:rsidR="002F423A" w:rsidRPr="002F423A" w:rsidRDefault="002F423A" w:rsidP="002F423A">
      <w:pPr>
        <w:spacing w:after="0"/>
        <w:ind w:right="1440"/>
        <w:jc w:val="both"/>
        <w:rPr>
          <w:i/>
          <w:iCs/>
        </w:rPr>
      </w:pPr>
    </w:p>
    <w:p w14:paraId="3405BB27" w14:textId="3D200803" w:rsidR="002F423A" w:rsidRDefault="002F423A" w:rsidP="002F423A">
      <w:pPr>
        <w:pStyle w:val="ListParagraph"/>
        <w:numPr>
          <w:ilvl w:val="2"/>
          <w:numId w:val="4"/>
        </w:numPr>
        <w:spacing w:after="0"/>
        <w:ind w:left="2160" w:right="1440" w:hanging="540"/>
        <w:jc w:val="both"/>
        <w:rPr>
          <w:i/>
          <w:iCs/>
        </w:rPr>
      </w:pPr>
      <w:r w:rsidRPr="0031236D">
        <w:rPr>
          <w:b/>
          <w:bCs/>
          <w:i/>
          <w:iCs/>
          <w:u w:val="single"/>
        </w:rPr>
        <w:t>Public dissemination (i.e., unlimited distribution) in any form (e.g., not necessarily in published form), including posting on the Internet on sites available to the public;</w:t>
      </w:r>
      <w:r w:rsidRPr="002F423A">
        <w:rPr>
          <w:i/>
          <w:iCs/>
        </w:rPr>
        <w:t xml:space="preserve"> or</w:t>
      </w:r>
    </w:p>
    <w:p w14:paraId="10E02AE4" w14:textId="77777777" w:rsidR="002F423A" w:rsidRPr="002F423A" w:rsidRDefault="002F423A" w:rsidP="002F423A">
      <w:pPr>
        <w:spacing w:after="0"/>
        <w:ind w:right="1440"/>
        <w:jc w:val="both"/>
        <w:rPr>
          <w:i/>
          <w:iCs/>
        </w:rPr>
      </w:pPr>
    </w:p>
    <w:p w14:paraId="23E3967C" w14:textId="29808FC6" w:rsidR="002F423A" w:rsidRDefault="002F423A" w:rsidP="002F423A">
      <w:pPr>
        <w:pStyle w:val="ListParagraph"/>
        <w:numPr>
          <w:ilvl w:val="2"/>
          <w:numId w:val="4"/>
        </w:numPr>
        <w:spacing w:after="0"/>
        <w:ind w:left="2160" w:right="1440" w:hanging="540"/>
        <w:jc w:val="both"/>
        <w:rPr>
          <w:i/>
          <w:iCs/>
        </w:rPr>
      </w:pPr>
      <w:r w:rsidRPr="002F423A">
        <w:rPr>
          <w:i/>
          <w:iCs/>
        </w:rPr>
        <w:t>Submission of a written composition, manuscript, presentation, computer-readable dataset, formula, imagery, algorithms, or some other representation of knowledge with the intention that such information will be made publicly available if accepted for publication or presentation:</w:t>
      </w:r>
    </w:p>
    <w:p w14:paraId="77D2C6C6" w14:textId="77777777" w:rsidR="002F423A" w:rsidRPr="002F423A" w:rsidRDefault="002F423A" w:rsidP="002F423A">
      <w:pPr>
        <w:pStyle w:val="ListParagraph"/>
        <w:rPr>
          <w:i/>
          <w:iCs/>
        </w:rPr>
      </w:pPr>
    </w:p>
    <w:p w14:paraId="0D82A0EE" w14:textId="39D983FD" w:rsidR="002F423A" w:rsidRDefault="002F423A" w:rsidP="002F423A">
      <w:pPr>
        <w:pStyle w:val="ListParagraph"/>
        <w:numPr>
          <w:ilvl w:val="3"/>
          <w:numId w:val="4"/>
        </w:numPr>
        <w:spacing w:after="0"/>
        <w:ind w:right="1440"/>
        <w:jc w:val="both"/>
        <w:rPr>
          <w:i/>
          <w:iCs/>
        </w:rPr>
      </w:pPr>
      <w:r w:rsidRPr="002F423A">
        <w:rPr>
          <w:i/>
          <w:iCs/>
        </w:rPr>
        <w:t xml:space="preserve">To domestic or foreign co-authors, editors, or reviewers of journals, magazines, newspapers or trade </w:t>
      </w:r>
      <w:proofErr w:type="gramStart"/>
      <w:r w:rsidRPr="002F423A">
        <w:rPr>
          <w:i/>
          <w:iCs/>
        </w:rPr>
        <w:t>publications;</w:t>
      </w:r>
      <w:proofErr w:type="gramEnd"/>
    </w:p>
    <w:p w14:paraId="68A9488A" w14:textId="77777777" w:rsidR="002F423A" w:rsidRPr="002F423A" w:rsidRDefault="002F423A" w:rsidP="002F423A">
      <w:pPr>
        <w:pStyle w:val="ListParagraph"/>
        <w:spacing w:after="0"/>
        <w:ind w:left="2520" w:right="1440"/>
        <w:jc w:val="both"/>
        <w:rPr>
          <w:i/>
          <w:iCs/>
        </w:rPr>
      </w:pPr>
    </w:p>
    <w:p w14:paraId="67647E62" w14:textId="1BE0E811" w:rsidR="002F423A" w:rsidRDefault="002F423A" w:rsidP="002F423A">
      <w:pPr>
        <w:pStyle w:val="ListParagraph"/>
        <w:numPr>
          <w:ilvl w:val="3"/>
          <w:numId w:val="4"/>
        </w:numPr>
        <w:spacing w:after="0"/>
        <w:ind w:right="1440"/>
        <w:jc w:val="both"/>
        <w:rPr>
          <w:i/>
          <w:iCs/>
        </w:rPr>
      </w:pPr>
      <w:r w:rsidRPr="002F423A">
        <w:rPr>
          <w:i/>
          <w:iCs/>
        </w:rPr>
        <w:t>To researchers conducting fundamental research; or</w:t>
      </w:r>
    </w:p>
    <w:p w14:paraId="1E338747" w14:textId="77777777" w:rsidR="002F423A" w:rsidRPr="002F423A" w:rsidRDefault="002F423A" w:rsidP="002F423A">
      <w:pPr>
        <w:pStyle w:val="ListParagraph"/>
        <w:spacing w:after="0"/>
        <w:ind w:left="2520" w:right="1440"/>
        <w:jc w:val="both"/>
        <w:rPr>
          <w:i/>
          <w:iCs/>
        </w:rPr>
      </w:pPr>
    </w:p>
    <w:p w14:paraId="00BBD4C0" w14:textId="5638767D" w:rsidR="002F423A" w:rsidRPr="0031236D" w:rsidRDefault="002F423A" w:rsidP="002F423A">
      <w:pPr>
        <w:pStyle w:val="ListParagraph"/>
        <w:numPr>
          <w:ilvl w:val="3"/>
          <w:numId w:val="4"/>
        </w:numPr>
        <w:spacing w:after="0"/>
        <w:ind w:right="1440"/>
        <w:jc w:val="both"/>
        <w:rPr>
          <w:i/>
          <w:iCs/>
        </w:rPr>
      </w:pPr>
      <w:r w:rsidRPr="002F423A">
        <w:rPr>
          <w:i/>
          <w:iCs/>
        </w:rPr>
        <w:t>To organizers of open conferences or other open gatherings.</w:t>
      </w:r>
    </w:p>
    <w:p w14:paraId="12F4BAD8" w14:textId="77777777" w:rsidR="0031236D" w:rsidRPr="0031236D" w:rsidRDefault="0031236D" w:rsidP="0031236D">
      <w:pPr>
        <w:pStyle w:val="ListParagraph"/>
        <w:rPr>
          <w:i/>
          <w:iCs/>
        </w:rPr>
      </w:pPr>
    </w:p>
    <w:p w14:paraId="4F267F76" w14:textId="48B7E9D0" w:rsidR="0031236D" w:rsidRDefault="0031236D" w:rsidP="00E80C03">
      <w:pPr>
        <w:spacing w:after="0"/>
        <w:ind w:firstLine="720"/>
        <w:jc w:val="both"/>
      </w:pPr>
      <w:r>
        <w:t xml:space="preserve">Therefore, </w:t>
      </w:r>
      <w:r w:rsidR="00E52A50">
        <w:t xml:space="preserve">ORI’s Data </w:t>
      </w:r>
      <w:r>
        <w:t>software and technology that has been publicly disseminated is “</w:t>
      </w:r>
      <w:r w:rsidR="00E52A50">
        <w:t>p</w:t>
      </w:r>
      <w:r>
        <w:t xml:space="preserve">ublished” </w:t>
      </w:r>
      <w:r w:rsidR="00E52A50">
        <w:t xml:space="preserve">within the meaning of Section 734.7(a)(4), </w:t>
      </w:r>
      <w:r>
        <w:t>and not subject to the EAR</w:t>
      </w:r>
      <w:r w:rsidR="00E52A50">
        <w:t>.</w:t>
      </w:r>
    </w:p>
    <w:p w14:paraId="4A88BFAB" w14:textId="7B2DD504" w:rsidR="00A868AA" w:rsidRDefault="00A868AA" w:rsidP="00E80C03">
      <w:pPr>
        <w:spacing w:after="0"/>
        <w:ind w:firstLine="720"/>
        <w:jc w:val="both"/>
      </w:pPr>
    </w:p>
    <w:p w14:paraId="5E69FE37" w14:textId="234A5A73" w:rsidR="0031236D" w:rsidRDefault="0031236D" w:rsidP="0031236D">
      <w:pPr>
        <w:spacing w:after="0"/>
        <w:ind w:right="1440"/>
        <w:jc w:val="both"/>
      </w:pPr>
    </w:p>
    <w:p w14:paraId="767CB8C7" w14:textId="79A89DCA" w:rsidR="0031236D" w:rsidRPr="00291F68" w:rsidRDefault="0031236D" w:rsidP="00291F68">
      <w:pPr>
        <w:pStyle w:val="ListParagraph"/>
        <w:numPr>
          <w:ilvl w:val="0"/>
          <w:numId w:val="13"/>
        </w:numPr>
        <w:spacing w:after="0"/>
        <w:ind w:left="1080" w:right="1440" w:hanging="720"/>
        <w:jc w:val="both"/>
        <w:rPr>
          <w:b/>
          <w:bCs/>
        </w:rPr>
      </w:pPr>
      <w:r w:rsidRPr="00291F68">
        <w:rPr>
          <w:b/>
          <w:bCs/>
        </w:rPr>
        <w:t>What is an Advisory Opinion?</w:t>
      </w:r>
    </w:p>
    <w:p w14:paraId="0FFE44CF" w14:textId="77777777" w:rsidR="0031236D" w:rsidRDefault="0031236D" w:rsidP="0031236D">
      <w:pPr>
        <w:spacing w:after="0"/>
        <w:ind w:right="1440"/>
        <w:jc w:val="both"/>
      </w:pPr>
    </w:p>
    <w:p w14:paraId="5A3CC4B5" w14:textId="60F37AAB" w:rsidR="0031236D" w:rsidRDefault="00507039" w:rsidP="00507039">
      <w:pPr>
        <w:spacing w:after="0"/>
        <w:jc w:val="both"/>
      </w:pPr>
      <w:r>
        <w:tab/>
        <w:t xml:space="preserve">An </w:t>
      </w:r>
      <w:r w:rsidR="00E52A50">
        <w:t>A</w:t>
      </w:r>
      <w:r>
        <w:t xml:space="preserve">dvisory </w:t>
      </w:r>
      <w:r w:rsidR="00E52A50">
        <w:t>O</w:t>
      </w:r>
      <w:r>
        <w:t xml:space="preserve">pinion </w:t>
      </w:r>
      <w:r w:rsidR="00E52A50">
        <w:t>responds to</w:t>
      </w:r>
      <w:r>
        <w:t xml:space="preserve"> a request for BIS to advise on</w:t>
      </w:r>
      <w:r w:rsidR="00E52A50">
        <w:t xml:space="preserve"> the requester’s proffered</w:t>
      </w:r>
      <w:r w:rsidR="00C7176A">
        <w:t xml:space="preserve"> </w:t>
      </w:r>
      <w:r>
        <w:t xml:space="preserve">interpretation of the EAR. </w:t>
      </w:r>
    </w:p>
    <w:p w14:paraId="01F446DB" w14:textId="2BDDF785" w:rsidR="0031236D" w:rsidRDefault="0031236D" w:rsidP="00E80C03">
      <w:pPr>
        <w:spacing w:after="0"/>
        <w:ind w:right="1440"/>
        <w:jc w:val="both"/>
      </w:pPr>
    </w:p>
    <w:p w14:paraId="7D6D66C1" w14:textId="16557769" w:rsidR="00E80C03" w:rsidRDefault="00E80C03" w:rsidP="00507039">
      <w:pPr>
        <w:spacing w:after="0"/>
        <w:ind w:firstLine="720"/>
        <w:jc w:val="both"/>
      </w:pPr>
      <w:r>
        <w:t>However, a</w:t>
      </w:r>
      <w:r w:rsidRPr="00E80C03">
        <w:t>dvisory opinions may not be relied upon or cited as evidence that the U</w:t>
      </w:r>
      <w:r w:rsidR="00FC5165">
        <w:t>S</w:t>
      </w:r>
      <w:r w:rsidRPr="00E80C03">
        <w:t xml:space="preserve"> Government has determined that the items described in the advisory opinion are not subject to the export control jurisdiction of another agency of the U.S. Government (</w:t>
      </w:r>
      <w:r w:rsidRPr="00507039">
        <w:rPr>
          <w:i/>
          <w:iCs/>
        </w:rPr>
        <w:t>See</w:t>
      </w:r>
      <w:r w:rsidRPr="00E80C03">
        <w:t xml:space="preserve"> 15 CFR 734.3).</w:t>
      </w:r>
      <w:r w:rsidR="00C7176A">
        <w:rPr>
          <w:rStyle w:val="FootnoteReference"/>
        </w:rPr>
        <w:footnoteReference w:id="1"/>
      </w:r>
    </w:p>
    <w:p w14:paraId="5BDB4DB6" w14:textId="07412F70" w:rsidR="00507039" w:rsidRDefault="00507039" w:rsidP="00507039">
      <w:pPr>
        <w:spacing w:after="0"/>
        <w:jc w:val="both"/>
      </w:pPr>
    </w:p>
    <w:p w14:paraId="6AC599E0" w14:textId="27D37C9A" w:rsidR="00507039" w:rsidRPr="00291F68" w:rsidRDefault="00507039" w:rsidP="00291F68">
      <w:pPr>
        <w:pStyle w:val="ListParagraph"/>
        <w:numPr>
          <w:ilvl w:val="0"/>
          <w:numId w:val="13"/>
        </w:numPr>
        <w:spacing w:after="0"/>
        <w:ind w:left="1080" w:hanging="720"/>
        <w:jc w:val="both"/>
        <w:rPr>
          <w:b/>
          <w:bCs/>
        </w:rPr>
      </w:pPr>
      <w:r w:rsidRPr="00291F68">
        <w:rPr>
          <w:b/>
          <w:bCs/>
        </w:rPr>
        <w:t>Why did ORI Submit an Advisory Opinion Request?</w:t>
      </w:r>
    </w:p>
    <w:p w14:paraId="775FE3D4" w14:textId="34B42B96" w:rsidR="00507039" w:rsidRDefault="00507039" w:rsidP="00507039">
      <w:pPr>
        <w:spacing w:after="0"/>
        <w:jc w:val="both"/>
      </w:pPr>
    </w:p>
    <w:p w14:paraId="7EF8DECC" w14:textId="3674379D" w:rsidR="00507039" w:rsidRDefault="00507039" w:rsidP="00507039">
      <w:pPr>
        <w:spacing w:after="0"/>
        <w:ind w:firstLine="720"/>
        <w:jc w:val="both"/>
      </w:pPr>
      <w:r>
        <w:t xml:space="preserve">ORI submitted an </w:t>
      </w:r>
      <w:r w:rsidR="00AE44CF">
        <w:t>A</w:t>
      </w:r>
      <w:r>
        <w:t xml:space="preserve">dvisory </w:t>
      </w:r>
      <w:r w:rsidR="00AE44CF">
        <w:t>O</w:t>
      </w:r>
      <w:r>
        <w:t>pinion request to obtain BIS</w:t>
      </w:r>
      <w:r w:rsidR="00E52A50">
        <w:t>’</w:t>
      </w:r>
      <w:r>
        <w:t xml:space="preserve"> guidance on whether its </w:t>
      </w:r>
      <w:r w:rsidR="00E52A50">
        <w:t>Data</w:t>
      </w:r>
      <w:r>
        <w:t xml:space="preserve"> would be considered “Published” under Section 734.7(a) of the EAR </w:t>
      </w:r>
      <w:r w:rsidR="00E52A50">
        <w:t>after</w:t>
      </w:r>
      <w:r>
        <w:t xml:space="preserve"> it becomes available under the following actions: </w:t>
      </w:r>
      <w:r w:rsidRPr="00507039">
        <w:t>release in an unrestricted online forum, placement in a public archive on the Internet, or posting either in written or online form by a university</w:t>
      </w:r>
      <w:r>
        <w:t xml:space="preserve">. </w:t>
      </w:r>
    </w:p>
    <w:p w14:paraId="5E6F4A50" w14:textId="6E82B946" w:rsidR="00AE44CF" w:rsidRDefault="00AE44CF" w:rsidP="00507039">
      <w:pPr>
        <w:spacing w:after="0"/>
        <w:ind w:firstLine="720"/>
        <w:jc w:val="both"/>
      </w:pPr>
    </w:p>
    <w:p w14:paraId="280AA6F2" w14:textId="18B18B86" w:rsidR="00AE44CF" w:rsidRDefault="00AE44CF" w:rsidP="00507039">
      <w:pPr>
        <w:spacing w:after="0"/>
        <w:ind w:firstLine="720"/>
        <w:jc w:val="both"/>
      </w:pPr>
      <w:r>
        <w:t xml:space="preserve">ORI submitted its </w:t>
      </w:r>
      <w:commentRangeStart w:id="4"/>
      <w:commentRangeStart w:id="5"/>
      <w:r>
        <w:t xml:space="preserve">request </w:t>
      </w:r>
      <w:commentRangeEnd w:id="4"/>
      <w:r w:rsidR="00217454">
        <w:rPr>
          <w:rStyle w:val="CommentReference"/>
        </w:rPr>
        <w:commentReference w:id="4"/>
      </w:r>
      <w:commentRangeEnd w:id="5"/>
      <w:r w:rsidR="00E52A50">
        <w:rPr>
          <w:rStyle w:val="CommentReference"/>
        </w:rPr>
        <w:commentReference w:id="5"/>
      </w:r>
      <w:r>
        <w:t>for an Advisory Opinion</w:t>
      </w:r>
      <w:r w:rsidR="00184AD9">
        <w:t xml:space="preserve"> on February 23, 2021.</w:t>
      </w:r>
    </w:p>
    <w:p w14:paraId="39BF2F00" w14:textId="767AE99D" w:rsidR="00000A29" w:rsidRDefault="00000A29" w:rsidP="00000A29">
      <w:pPr>
        <w:spacing w:after="0"/>
        <w:jc w:val="both"/>
      </w:pPr>
    </w:p>
    <w:p w14:paraId="64612B56" w14:textId="712100FF" w:rsidR="00000A29" w:rsidRPr="00291F68" w:rsidRDefault="00000A29" w:rsidP="00291F68">
      <w:pPr>
        <w:pStyle w:val="ListParagraph"/>
        <w:numPr>
          <w:ilvl w:val="0"/>
          <w:numId w:val="13"/>
        </w:numPr>
        <w:spacing w:after="0"/>
        <w:ind w:left="1080" w:hanging="720"/>
        <w:jc w:val="both"/>
        <w:rPr>
          <w:b/>
          <w:bCs/>
        </w:rPr>
      </w:pPr>
      <w:r w:rsidRPr="00291F68">
        <w:rPr>
          <w:b/>
          <w:bCs/>
        </w:rPr>
        <w:t>What was BIS’s Response?</w:t>
      </w:r>
    </w:p>
    <w:p w14:paraId="1A3019B2" w14:textId="42567A3C" w:rsidR="00000A29" w:rsidRDefault="00000A29" w:rsidP="00000A29">
      <w:pPr>
        <w:spacing w:after="0"/>
        <w:jc w:val="both"/>
      </w:pPr>
    </w:p>
    <w:p w14:paraId="0A9C2EF6" w14:textId="0E16ED20" w:rsidR="00000A29" w:rsidRDefault="00000A29" w:rsidP="00000A29">
      <w:pPr>
        <w:spacing w:after="0"/>
        <w:jc w:val="both"/>
      </w:pPr>
      <w:r>
        <w:tab/>
        <w:t>BIS issued a response on September 2, 2021</w:t>
      </w:r>
      <w:r w:rsidR="003F56D2">
        <w:t>:</w:t>
      </w:r>
    </w:p>
    <w:p w14:paraId="20938C30" w14:textId="5775E3AE" w:rsidR="003F56D2" w:rsidRDefault="003F56D2" w:rsidP="00000A29">
      <w:pPr>
        <w:spacing w:after="0"/>
        <w:jc w:val="both"/>
      </w:pPr>
    </w:p>
    <w:p w14:paraId="60AC66AC" w14:textId="2F15F5F1" w:rsidR="003F56D2" w:rsidRPr="003F56D2" w:rsidRDefault="003F56D2" w:rsidP="003F56D2">
      <w:pPr>
        <w:spacing w:after="0"/>
        <w:ind w:left="720" w:right="720"/>
        <w:jc w:val="both"/>
        <w:rPr>
          <w:i/>
          <w:iCs/>
        </w:rPr>
      </w:pPr>
      <w:r w:rsidRPr="003F56D2">
        <w:rPr>
          <w:i/>
          <w:iCs/>
        </w:rPr>
        <w:t>ORI’s technology and software are subject to the EAR until such time as they meet the criteria of § 734.7(a) of the EAR. The actions you have described (release in an unrestricted online forum, placement in a public archive on the Internet, or posting either in written or online form by a university) appear to fall within the scope of published information under § 734.7 (a) of the EAR. Once ORI’s technology and software meet the criteria of § 734.7(a), they would be no longer subject to the EAR.</w:t>
      </w:r>
    </w:p>
    <w:p w14:paraId="7888D971" w14:textId="350ABB6A" w:rsidR="003F56D2" w:rsidRDefault="003F56D2" w:rsidP="00000A29">
      <w:pPr>
        <w:spacing w:after="0"/>
        <w:jc w:val="both"/>
      </w:pPr>
    </w:p>
    <w:p w14:paraId="77C4929E" w14:textId="57F0FE8A" w:rsidR="003F56D2" w:rsidRDefault="00350A29" w:rsidP="00000A29">
      <w:pPr>
        <w:spacing w:after="0"/>
        <w:jc w:val="both"/>
      </w:pPr>
      <w:r>
        <w:tab/>
        <w:t xml:space="preserve">Therefore, when ORI’s software or technology </w:t>
      </w:r>
      <w:r w:rsidR="00A8552A">
        <w:t>becomes available in actions such as those</w:t>
      </w:r>
      <w:r>
        <w:t xml:space="preserve"> described above, it will be considered “Published” and no longer subject to the EAR.</w:t>
      </w:r>
    </w:p>
    <w:p w14:paraId="5361E7D2" w14:textId="6E074E82" w:rsidR="00EE60B9" w:rsidRDefault="00EE60B9" w:rsidP="00000A29">
      <w:pPr>
        <w:spacing w:after="0"/>
        <w:jc w:val="both"/>
      </w:pPr>
    </w:p>
    <w:p w14:paraId="295BCEA9" w14:textId="1349768C" w:rsidR="00EE60B9" w:rsidRDefault="00EE60B9" w:rsidP="00000A29">
      <w:pPr>
        <w:spacing w:after="0"/>
        <w:jc w:val="both"/>
      </w:pPr>
      <w:r>
        <w:tab/>
        <w:t xml:space="preserve">The Advisory Opinion response from BIS can be viewed </w:t>
      </w:r>
      <w:hyperlink r:id="rId16" w:history="1">
        <w:r w:rsidRPr="00EE60B9">
          <w:rPr>
            <w:rStyle w:val="Hyperlink"/>
          </w:rPr>
          <w:t>here</w:t>
        </w:r>
      </w:hyperlink>
      <w:r w:rsidR="00A64B09">
        <w:t xml:space="preserve">, with further clarification </w:t>
      </w:r>
      <w:hyperlink r:id="rId17" w:history="1">
        <w:r w:rsidR="00A64B09" w:rsidRPr="00A64B09">
          <w:rPr>
            <w:rStyle w:val="Hyperlink"/>
          </w:rPr>
          <w:t>here</w:t>
        </w:r>
      </w:hyperlink>
      <w:r w:rsidR="00A64B09">
        <w:t>.</w:t>
      </w:r>
    </w:p>
    <w:p w14:paraId="1F3DA800" w14:textId="1B62D22E" w:rsidR="00350A29" w:rsidRDefault="00350A29" w:rsidP="00000A29">
      <w:pPr>
        <w:spacing w:after="0"/>
        <w:jc w:val="both"/>
      </w:pPr>
    </w:p>
    <w:p w14:paraId="392601CF" w14:textId="2E98EAFE" w:rsidR="00350A29" w:rsidRDefault="00844913" w:rsidP="0023103C">
      <w:pPr>
        <w:pStyle w:val="ListParagraph"/>
        <w:numPr>
          <w:ilvl w:val="0"/>
          <w:numId w:val="20"/>
        </w:numPr>
        <w:spacing w:after="0"/>
        <w:ind w:left="360"/>
        <w:jc w:val="both"/>
        <w:rPr>
          <w:b/>
          <w:bCs/>
        </w:rPr>
      </w:pPr>
      <w:r>
        <w:rPr>
          <w:b/>
          <w:bCs/>
        </w:rPr>
        <w:t xml:space="preserve">INFORMATION OR </w:t>
      </w:r>
      <w:r w:rsidR="00AC7FB7">
        <w:rPr>
          <w:b/>
          <w:bCs/>
        </w:rPr>
        <w:t>INFORMATIONAL MATERIALS EXCEPTION</w:t>
      </w:r>
    </w:p>
    <w:p w14:paraId="18A99276" w14:textId="0377CF7F" w:rsidR="00724611" w:rsidRPr="000F0D6B" w:rsidRDefault="000F0D6B" w:rsidP="000F0D6B">
      <w:pPr>
        <w:spacing w:after="0"/>
        <w:ind w:left="360"/>
        <w:jc w:val="both"/>
      </w:pPr>
      <w:r w:rsidRPr="000F0D6B">
        <w:t>IEEPA</w:t>
      </w:r>
      <w:r w:rsidR="00DB10AE">
        <w:t>, TWEA</w:t>
      </w:r>
      <w:r w:rsidRPr="000F0D6B">
        <w:t xml:space="preserve"> AND </w:t>
      </w:r>
      <w:r w:rsidR="00F61B70" w:rsidRPr="000F0D6B">
        <w:t xml:space="preserve">TREASURY </w:t>
      </w:r>
      <w:r w:rsidRPr="000F0D6B">
        <w:t>DEPARTMENT / OFAC</w:t>
      </w:r>
    </w:p>
    <w:p w14:paraId="3CFCBAE4" w14:textId="73EC23DE" w:rsidR="00842850" w:rsidRPr="00B45EF8" w:rsidRDefault="00842850" w:rsidP="00842850">
      <w:pPr>
        <w:spacing w:after="0"/>
        <w:jc w:val="both"/>
      </w:pPr>
    </w:p>
    <w:p w14:paraId="4528E48C" w14:textId="48BD2C59" w:rsidR="00842850" w:rsidRPr="00690DB8" w:rsidRDefault="00690DB8" w:rsidP="0023103C">
      <w:pPr>
        <w:pStyle w:val="ListParagraph"/>
        <w:numPr>
          <w:ilvl w:val="0"/>
          <w:numId w:val="19"/>
        </w:numPr>
        <w:spacing w:after="0"/>
        <w:ind w:left="1080" w:hanging="720"/>
        <w:jc w:val="both"/>
        <w:rPr>
          <w:b/>
          <w:bCs/>
        </w:rPr>
      </w:pPr>
      <w:r w:rsidRPr="00690DB8">
        <w:rPr>
          <w:b/>
          <w:bCs/>
        </w:rPr>
        <w:t>What is the Information</w:t>
      </w:r>
      <w:r w:rsidR="00844913">
        <w:rPr>
          <w:b/>
          <w:bCs/>
        </w:rPr>
        <w:t xml:space="preserve"> or Information</w:t>
      </w:r>
      <w:r w:rsidRPr="00690DB8">
        <w:rPr>
          <w:b/>
          <w:bCs/>
        </w:rPr>
        <w:t>al Materials Exception?</w:t>
      </w:r>
    </w:p>
    <w:p w14:paraId="5AE657A1" w14:textId="1E67B1E6" w:rsidR="00690DB8" w:rsidRDefault="00690DB8" w:rsidP="00690DB8">
      <w:pPr>
        <w:spacing w:after="0"/>
        <w:jc w:val="both"/>
      </w:pPr>
    </w:p>
    <w:p w14:paraId="0B208C7D" w14:textId="087D2D20" w:rsidR="00690DB8" w:rsidRDefault="0092739E" w:rsidP="0092739E">
      <w:pPr>
        <w:spacing w:after="0"/>
        <w:jc w:val="both"/>
      </w:pPr>
      <w:r>
        <w:tab/>
        <w:t xml:space="preserve">In 1977, Congress enacted the </w:t>
      </w:r>
      <w:r w:rsidR="00B00015">
        <w:t>IEEPA</w:t>
      </w:r>
      <w:r>
        <w:t xml:space="preserve"> (50 USC 1701 </w:t>
      </w:r>
      <w:r w:rsidRPr="0092739E">
        <w:rPr>
          <w:i/>
          <w:iCs/>
        </w:rPr>
        <w:t>et seq.</w:t>
      </w:r>
      <w:r>
        <w:t xml:space="preserve">). The IEEPA empowered the </w:t>
      </w:r>
      <w:r w:rsidR="00AF53AE">
        <w:t>P</w:t>
      </w:r>
      <w:r>
        <w:t xml:space="preserve">resident to respond to unusual and extraordinary threats with the imposition of sanctions on countries </w:t>
      </w:r>
      <w:r w:rsidR="00762236">
        <w:t>that</w:t>
      </w:r>
      <w:r>
        <w:t xml:space="preserve"> threatened national security</w:t>
      </w:r>
      <w:r w:rsidR="00744BCE">
        <w:t>,</w:t>
      </w:r>
      <w:r>
        <w:t xml:space="preserve"> and </w:t>
      </w:r>
      <w:r w:rsidR="00D92EF7">
        <w:t>to</w:t>
      </w:r>
      <w:r>
        <w:t xml:space="preserve"> establish guidelines for regulating trade with hostile nations.</w:t>
      </w:r>
      <w:r w:rsidR="00181837">
        <w:t xml:space="preserve"> </w:t>
      </w:r>
      <w:r>
        <w:t xml:space="preserve">The Berman </w:t>
      </w:r>
      <w:r>
        <w:lastRenderedPageBreak/>
        <w:t>Amendment [50 USC 1702(b)(3)] was added to the IEEPA in 1988</w:t>
      </w:r>
      <w:r w:rsidR="00762236">
        <w:t xml:space="preserve">, providing exceptions to the presidential grant of authority. It was revised in 1994 to include an exception for information </w:t>
      </w:r>
      <w:r w:rsidR="00946AD1">
        <w:t>or</w:t>
      </w:r>
      <w:r w:rsidR="00762236">
        <w:t xml:space="preserve"> informational materials:</w:t>
      </w:r>
    </w:p>
    <w:p w14:paraId="2FCE929A" w14:textId="22DAF158" w:rsidR="0092739E" w:rsidRDefault="0092739E" w:rsidP="0092739E">
      <w:pPr>
        <w:spacing w:after="0"/>
        <w:jc w:val="both"/>
      </w:pPr>
    </w:p>
    <w:p w14:paraId="79615E08" w14:textId="48ADAB03" w:rsidR="0092739E" w:rsidRPr="00A54EC9" w:rsidRDefault="0092739E" w:rsidP="0092739E">
      <w:pPr>
        <w:pStyle w:val="ListParagraph"/>
        <w:numPr>
          <w:ilvl w:val="0"/>
          <w:numId w:val="4"/>
        </w:numPr>
        <w:spacing w:after="0"/>
        <w:ind w:right="720"/>
        <w:jc w:val="both"/>
        <w:rPr>
          <w:b/>
          <w:bCs/>
          <w:i/>
          <w:iCs/>
        </w:rPr>
      </w:pPr>
      <w:r w:rsidRPr="00A54EC9">
        <w:rPr>
          <w:b/>
          <w:bCs/>
          <w:i/>
          <w:iCs/>
        </w:rPr>
        <w:t>Exceptions to grant of authority</w:t>
      </w:r>
    </w:p>
    <w:p w14:paraId="2761543D" w14:textId="240D9F10" w:rsidR="0092739E" w:rsidRPr="0092739E" w:rsidRDefault="0092739E" w:rsidP="0092739E">
      <w:pPr>
        <w:spacing w:after="0"/>
        <w:ind w:left="720" w:right="720"/>
        <w:jc w:val="both"/>
        <w:rPr>
          <w:i/>
          <w:iCs/>
        </w:rPr>
      </w:pPr>
      <w:r w:rsidRPr="0092739E">
        <w:rPr>
          <w:i/>
          <w:iCs/>
        </w:rPr>
        <w:t xml:space="preserve">The authority granted to the President by this section does not include the authority to regulate or prohibit, directly or indirectly- </w:t>
      </w:r>
      <w:proofErr w:type="gramStart"/>
      <w:r w:rsidRPr="0092739E">
        <w:rPr>
          <w:i/>
          <w:iCs/>
        </w:rPr>
        <w:t>. . . .</w:t>
      </w:r>
      <w:proofErr w:type="gramEnd"/>
      <w:r w:rsidRPr="0092739E">
        <w:rPr>
          <w:i/>
          <w:iCs/>
        </w:rPr>
        <w:t xml:space="preserve"> </w:t>
      </w:r>
    </w:p>
    <w:p w14:paraId="70F24FBF" w14:textId="57323A16" w:rsidR="0092739E" w:rsidRPr="0092739E" w:rsidRDefault="0092739E" w:rsidP="00D349B5">
      <w:pPr>
        <w:pStyle w:val="ListParagraph"/>
        <w:numPr>
          <w:ilvl w:val="0"/>
          <w:numId w:val="31"/>
        </w:numPr>
        <w:spacing w:after="0"/>
        <w:ind w:left="1800" w:right="720"/>
        <w:jc w:val="both"/>
        <w:rPr>
          <w:i/>
          <w:iCs/>
        </w:rPr>
      </w:pPr>
      <w:bookmarkStart w:id="6" w:name="substructure-location_b_1"/>
      <w:bookmarkStart w:id="7" w:name="substructure-location_b_3"/>
      <w:bookmarkEnd w:id="6"/>
      <w:bookmarkEnd w:id="7"/>
      <w:r w:rsidRPr="0092739E">
        <w:rPr>
          <w:i/>
          <w:iCs/>
        </w:rPr>
        <w:t xml:space="preserve">the importation from any country, or the exportation to any country, whether commercial or otherwise, regardless of format or medium of transmission, of </w:t>
      </w:r>
      <w:r w:rsidRPr="00D92EF7">
        <w:rPr>
          <w:b/>
          <w:bCs/>
          <w:i/>
          <w:iCs/>
          <w:u w:val="single"/>
        </w:rPr>
        <w:t xml:space="preserve">any </w:t>
      </w:r>
      <w:r w:rsidRPr="00762236">
        <w:rPr>
          <w:b/>
          <w:bCs/>
          <w:i/>
          <w:iCs/>
          <w:u w:val="single"/>
        </w:rPr>
        <w:t xml:space="preserve">information or informational </w:t>
      </w:r>
      <w:r w:rsidRPr="005052AB">
        <w:rPr>
          <w:b/>
          <w:bCs/>
          <w:i/>
          <w:iCs/>
          <w:u w:val="single"/>
        </w:rPr>
        <w:t>materials, including but not limited to, publications,</w:t>
      </w:r>
      <w:r w:rsidRPr="0092739E">
        <w:rPr>
          <w:i/>
          <w:iCs/>
        </w:rPr>
        <w:t xml:space="preserve"> films, posters, phonograph records, photographs, microfilms, microfiche, tapes, compact disks, CD ROMs, artworks, and news wire feeds. The exports exempted from regulation or prohibition by this paragraph do not include those which are otherwise controlled for export under section 4604 of this title, or under section 4605 of this title to the extent that such controls promote the nonproliferation or antiterrorism policies of the United States, or with respect to which acts are prohibited by chapter 37 of title </w:t>
      </w:r>
      <w:proofErr w:type="gramStart"/>
      <w:r w:rsidRPr="0092739E">
        <w:rPr>
          <w:i/>
          <w:iCs/>
        </w:rPr>
        <w:t>18;</w:t>
      </w:r>
      <w:proofErr w:type="gramEnd"/>
    </w:p>
    <w:p w14:paraId="446976D0" w14:textId="399BF58F" w:rsidR="0092739E" w:rsidRDefault="0092739E" w:rsidP="0092739E">
      <w:pPr>
        <w:spacing w:after="0"/>
        <w:jc w:val="both"/>
      </w:pPr>
    </w:p>
    <w:p w14:paraId="3983331C" w14:textId="77777777" w:rsidR="00CB56A0" w:rsidRDefault="00406251" w:rsidP="00406251">
      <w:pPr>
        <w:spacing w:after="0"/>
        <w:ind w:firstLine="720"/>
        <w:jc w:val="both"/>
      </w:pPr>
      <w:r>
        <w:t>The Berman Amendment exempted information or information materials, such as publications, from Presidential sanctions, among other trade regulations.</w:t>
      </w:r>
      <w:r w:rsidR="00CB56A0">
        <w:t xml:space="preserve"> Therefore, pursuant to the IEEPA, information or informational materials can be sent to countries that would otherwise be sanctioned.</w:t>
      </w:r>
      <w:r>
        <w:t xml:space="preserve"> </w:t>
      </w:r>
      <w:r w:rsidRPr="00406251">
        <w:t>BIS implements embargoes pursuant to th</w:t>
      </w:r>
      <w:r>
        <w:t>e President’s authority under the IEEPA</w:t>
      </w:r>
      <w:r w:rsidR="00CB56A0">
        <w:t xml:space="preserve">, so the information or informational materials exception applies to the embargoed countries in the EAR, including Iran, Syria, North Korea, </w:t>
      </w:r>
      <w:proofErr w:type="gramStart"/>
      <w:r w:rsidR="00CB56A0">
        <w:t>Cuba</w:t>
      </w:r>
      <w:proofErr w:type="gramEnd"/>
      <w:r w:rsidR="00CB56A0">
        <w:t xml:space="preserve"> and the Crimea region of the Ukraine.</w:t>
      </w:r>
      <w:r>
        <w:t xml:space="preserve"> </w:t>
      </w:r>
    </w:p>
    <w:p w14:paraId="06A2CEF1" w14:textId="77777777" w:rsidR="00CB56A0" w:rsidRDefault="00CB56A0" w:rsidP="00406251">
      <w:pPr>
        <w:spacing w:after="0"/>
        <w:ind w:firstLine="720"/>
        <w:jc w:val="both"/>
      </w:pPr>
    </w:p>
    <w:p w14:paraId="61CCC799" w14:textId="1395B2F9" w:rsidR="00A54EC9" w:rsidRDefault="00CB56A0" w:rsidP="006F57A6">
      <w:pPr>
        <w:spacing w:after="0"/>
        <w:ind w:firstLine="720"/>
        <w:jc w:val="both"/>
      </w:pPr>
      <w:r>
        <w:t xml:space="preserve">The Information or Informational Materials exemption also applies to OFAC sanctions </w:t>
      </w:r>
      <w:r w:rsidR="00406251">
        <w:t xml:space="preserve">against </w:t>
      </w:r>
      <w:r>
        <w:t>Iran</w:t>
      </w:r>
      <w:r w:rsidR="006F57A6">
        <w:t xml:space="preserve"> [31 CFR 560.210(c)]</w:t>
      </w:r>
      <w:r>
        <w:t>, Syria</w:t>
      </w:r>
      <w:r w:rsidR="006F57A6">
        <w:t xml:space="preserve"> [31 CFR 569.205(b)]</w:t>
      </w:r>
      <w:r>
        <w:t>, North Korea</w:t>
      </w:r>
      <w:r w:rsidR="006F57A6">
        <w:t xml:space="preserve"> [31 CFR 510.213(c)]</w:t>
      </w:r>
      <w:r>
        <w:t>, and the Crimea region of the Ukraine</w:t>
      </w:r>
      <w:r w:rsidR="006F57A6">
        <w:t xml:space="preserve"> (31 CFR Appendices to Part 589)</w:t>
      </w:r>
      <w:r>
        <w:t xml:space="preserve"> pursuant to IEEPA</w:t>
      </w:r>
      <w:r w:rsidR="006F57A6">
        <w:t xml:space="preserve">. </w:t>
      </w:r>
      <w:r>
        <w:t>For example, the exemption can be found</w:t>
      </w:r>
      <w:r w:rsidR="00A54EC9">
        <w:t xml:space="preserve"> in Section</w:t>
      </w:r>
      <w:r w:rsidR="00D92EF7">
        <w:t>s</w:t>
      </w:r>
      <w:r w:rsidR="00A54EC9">
        <w:t xml:space="preserve"> 560.2</w:t>
      </w:r>
      <w:r w:rsidR="00270F85">
        <w:t>10(c)</w:t>
      </w:r>
      <w:r w:rsidR="00A54EC9">
        <w:t xml:space="preserve"> </w:t>
      </w:r>
      <w:r w:rsidR="00D92EF7">
        <w:t xml:space="preserve">and 560.315(a) </w:t>
      </w:r>
      <w:r w:rsidR="00A54EC9">
        <w:t>of the Iranian Transactions and Sanctions Regulations (“ITSR”, 31 CFR 560</w:t>
      </w:r>
      <w:r w:rsidR="0057251D">
        <w:t xml:space="preserve"> </w:t>
      </w:r>
      <w:r w:rsidR="0057251D" w:rsidRPr="0057251D">
        <w:rPr>
          <w:i/>
          <w:iCs/>
        </w:rPr>
        <w:t>et seq.</w:t>
      </w:r>
      <w:r w:rsidR="00A54EC9">
        <w:t>):</w:t>
      </w:r>
    </w:p>
    <w:p w14:paraId="59796428" w14:textId="2104440D" w:rsidR="00A54EC9" w:rsidRDefault="00A54EC9" w:rsidP="005052AB">
      <w:pPr>
        <w:spacing w:after="0"/>
        <w:ind w:firstLine="720"/>
        <w:jc w:val="both"/>
      </w:pPr>
    </w:p>
    <w:p w14:paraId="114D2300" w14:textId="3D3A55BB" w:rsidR="00270F85" w:rsidRPr="00270F85" w:rsidRDefault="00270F85" w:rsidP="00270F85">
      <w:pPr>
        <w:spacing w:after="0"/>
        <w:ind w:left="720" w:right="720"/>
        <w:jc w:val="both"/>
        <w:rPr>
          <w:b/>
          <w:bCs/>
          <w:i/>
          <w:iCs/>
        </w:rPr>
      </w:pPr>
      <w:r w:rsidRPr="00270F85">
        <w:rPr>
          <w:b/>
          <w:bCs/>
          <w:i/>
          <w:iCs/>
        </w:rPr>
        <w:t>§ 560.210 Exempt transactions.</w:t>
      </w:r>
    </w:p>
    <w:p w14:paraId="750C0E95" w14:textId="32818339" w:rsidR="00270F85" w:rsidRPr="00D349B5" w:rsidRDefault="00270F85" w:rsidP="00D349B5">
      <w:pPr>
        <w:pStyle w:val="ListParagraph"/>
        <w:numPr>
          <w:ilvl w:val="0"/>
          <w:numId w:val="33"/>
        </w:numPr>
        <w:spacing w:after="0"/>
        <w:ind w:right="720"/>
        <w:jc w:val="both"/>
        <w:rPr>
          <w:i/>
          <w:iCs/>
        </w:rPr>
      </w:pPr>
      <w:r w:rsidRPr="00D349B5">
        <w:rPr>
          <w:i/>
          <w:iCs/>
        </w:rPr>
        <w:t xml:space="preserve">Information or informational materials. </w:t>
      </w:r>
    </w:p>
    <w:p w14:paraId="02C6F9C7" w14:textId="77777777" w:rsidR="00D349B5" w:rsidRDefault="00270F85" w:rsidP="00D349B5">
      <w:pPr>
        <w:pStyle w:val="ListParagraph"/>
        <w:numPr>
          <w:ilvl w:val="0"/>
          <w:numId w:val="34"/>
        </w:numPr>
        <w:spacing w:after="0"/>
        <w:ind w:right="720"/>
        <w:jc w:val="both"/>
        <w:rPr>
          <w:i/>
          <w:iCs/>
        </w:rPr>
      </w:pPr>
      <w:r w:rsidRPr="00D349B5">
        <w:rPr>
          <w:i/>
          <w:iCs/>
        </w:rPr>
        <w:t xml:space="preserve">The prohibitions contained in this part </w:t>
      </w:r>
      <w:r w:rsidRPr="00D349B5">
        <w:rPr>
          <w:b/>
          <w:bCs/>
          <w:i/>
          <w:iCs/>
          <w:u w:val="single"/>
        </w:rPr>
        <w:t>do not apply to the importation from any country and the exportation to any country of information or informational materials</w:t>
      </w:r>
      <w:r w:rsidRPr="00D349B5">
        <w:rPr>
          <w:i/>
          <w:iCs/>
        </w:rPr>
        <w:t xml:space="preserve">, as defined in § 560.315, whether commercial or otherwise, regardless of format or medium of transmission. </w:t>
      </w:r>
    </w:p>
    <w:p w14:paraId="73F4D378" w14:textId="2FB19B04" w:rsidR="00270F85" w:rsidRDefault="00270F85" w:rsidP="00D349B5">
      <w:pPr>
        <w:pStyle w:val="ListParagraph"/>
        <w:numPr>
          <w:ilvl w:val="0"/>
          <w:numId w:val="34"/>
        </w:numPr>
        <w:spacing w:after="0"/>
        <w:ind w:right="720"/>
        <w:jc w:val="both"/>
        <w:rPr>
          <w:i/>
          <w:iCs/>
        </w:rPr>
      </w:pPr>
      <w:r w:rsidRPr="00D349B5">
        <w:rPr>
          <w:i/>
          <w:iCs/>
        </w:rPr>
        <w:t xml:space="preserve">This section does not exempt from regulation or authorize transactions related to information or informational materials not fully created and in existence at the date of the transactions, or to the substantive or artistic alteration or enhancement of informational materials, or to the provision of marketing and business consulting services. Such prohibited transactions include, but are not limited to, payment of advances for information or informational materials not yet created and completed (with the exception of prepaid subscriptions for widely circulated magazines and other periodical publications); provision of services to market, produce or co-produce, create, or assist in the creation of information or informational materials; and payment of royalties with respect </w:t>
      </w:r>
      <w:r w:rsidRPr="00D349B5">
        <w:rPr>
          <w:i/>
          <w:iCs/>
        </w:rPr>
        <w:lastRenderedPageBreak/>
        <w:t>to income received for enhancements or alterations made by U.S. persons to such information or informational materials.</w:t>
      </w:r>
    </w:p>
    <w:p w14:paraId="53BBE001" w14:textId="65A81E93" w:rsidR="00D92EF7" w:rsidRPr="003B3234" w:rsidRDefault="00D92EF7" w:rsidP="00D92EF7">
      <w:pPr>
        <w:spacing w:after="0"/>
        <w:ind w:left="720" w:right="720"/>
        <w:jc w:val="both"/>
        <w:rPr>
          <w:b/>
          <w:bCs/>
          <w:i/>
          <w:iCs/>
        </w:rPr>
      </w:pPr>
      <w:r w:rsidRPr="003B3234">
        <w:rPr>
          <w:b/>
          <w:bCs/>
          <w:i/>
          <w:iCs/>
        </w:rPr>
        <w:t>§ 560.315 Information or informational materials.</w:t>
      </w:r>
    </w:p>
    <w:p w14:paraId="4B94C810" w14:textId="698D594F" w:rsidR="00D92EF7" w:rsidRPr="00D92EF7" w:rsidRDefault="00D92EF7" w:rsidP="00D92EF7">
      <w:pPr>
        <w:spacing w:after="0"/>
        <w:ind w:left="720" w:right="720"/>
        <w:jc w:val="both"/>
        <w:rPr>
          <w:i/>
          <w:iCs/>
        </w:rPr>
      </w:pPr>
      <w:r w:rsidRPr="00D92EF7">
        <w:rPr>
          <w:i/>
          <w:iCs/>
        </w:rPr>
        <w:t xml:space="preserve">(a) For purposes of this part, the term information or informational materials includes, but is not limited to, </w:t>
      </w:r>
      <w:r w:rsidRPr="00D92EF7">
        <w:rPr>
          <w:b/>
          <w:bCs/>
          <w:i/>
          <w:iCs/>
          <w:u w:val="single"/>
        </w:rPr>
        <w:t>publications</w:t>
      </w:r>
      <w:r w:rsidRPr="00D92EF7">
        <w:rPr>
          <w:i/>
          <w:iCs/>
        </w:rPr>
        <w:t>, films, posters, phonograph records, photographs, microfilms, microfiche, tapes, compact disks, CD ROMs, artworks, and news wire feeds.</w:t>
      </w:r>
    </w:p>
    <w:p w14:paraId="6DD4233F" w14:textId="7E591B6C" w:rsidR="005052AB" w:rsidRDefault="005052AB" w:rsidP="005052AB">
      <w:pPr>
        <w:spacing w:after="0"/>
        <w:ind w:firstLine="720"/>
        <w:jc w:val="both"/>
      </w:pPr>
    </w:p>
    <w:p w14:paraId="1D795025" w14:textId="4C8C977E" w:rsidR="00AE409A" w:rsidRDefault="001C25DA" w:rsidP="0058143F">
      <w:pPr>
        <w:spacing w:after="0"/>
        <w:ind w:firstLine="720"/>
        <w:jc w:val="both"/>
      </w:pPr>
      <w:r>
        <w:t xml:space="preserve">In addition, </w:t>
      </w:r>
      <w:r w:rsidR="0058143F">
        <w:t xml:space="preserve">OFAC implements sanctions against Cuba pursuant to the </w:t>
      </w:r>
      <w:r w:rsidR="009A453F">
        <w:t>TWEA</w:t>
      </w:r>
      <w:r w:rsidR="003E67F9">
        <w:t>, which was amended to</w:t>
      </w:r>
      <w:r w:rsidR="0058143F">
        <w:t xml:space="preserve"> include the Information or Information Materials exemption</w:t>
      </w:r>
      <w:r w:rsidR="003E67F9">
        <w:t xml:space="preserve"> (50 USC 4301 </w:t>
      </w:r>
      <w:r w:rsidR="003E67F9" w:rsidRPr="0058143F">
        <w:rPr>
          <w:i/>
          <w:iCs/>
        </w:rPr>
        <w:t>et seq.</w:t>
      </w:r>
      <w:r w:rsidR="003E67F9">
        <w:t>)</w:t>
      </w:r>
      <w:r w:rsidR="0058143F">
        <w:t>. Therefore, Information or Informational Materials exemption applies to Cuba as well</w:t>
      </w:r>
      <w:r w:rsidR="006F57A6">
        <w:t xml:space="preserve"> </w:t>
      </w:r>
      <w:r w:rsidR="003E67F9">
        <w:t xml:space="preserve">pursuant to TWEA </w:t>
      </w:r>
      <w:r w:rsidR="00591662">
        <w:t xml:space="preserve">and the implementing Cuban Asset Control Regulations </w:t>
      </w:r>
      <w:r w:rsidR="006F57A6">
        <w:t>[31 CFR 515.206(a)].</w:t>
      </w:r>
    </w:p>
    <w:p w14:paraId="4DF55F18" w14:textId="594DEC91" w:rsidR="00AE409A" w:rsidRDefault="005052AB" w:rsidP="005052AB">
      <w:pPr>
        <w:spacing w:after="0"/>
        <w:ind w:firstLine="720"/>
        <w:jc w:val="both"/>
      </w:pPr>
      <w:r>
        <w:t xml:space="preserve"> </w:t>
      </w:r>
    </w:p>
    <w:p w14:paraId="3B7E0209" w14:textId="7CC90698" w:rsidR="005052AB" w:rsidRDefault="00270F85" w:rsidP="005052AB">
      <w:pPr>
        <w:spacing w:after="0"/>
        <w:ind w:firstLine="720"/>
        <w:jc w:val="both"/>
      </w:pPr>
      <w:r>
        <w:t>OFAC</w:t>
      </w:r>
      <w:r w:rsidR="005052AB">
        <w:t xml:space="preserve"> </w:t>
      </w:r>
      <w:r w:rsidR="001A7977">
        <w:t>has taken</w:t>
      </w:r>
      <w:r w:rsidR="005052AB">
        <w:t xml:space="preserve"> the </w:t>
      </w:r>
      <w:hyperlink r:id="rId18" w:history="1">
        <w:r w:rsidR="005052AB" w:rsidRPr="006E7B98">
          <w:rPr>
            <w:rStyle w:val="Hyperlink"/>
          </w:rPr>
          <w:t>position</w:t>
        </w:r>
      </w:hyperlink>
      <w:r w:rsidR="005052AB">
        <w:t xml:space="preserve"> that the Berman Amendment did not exempt certain types of information from regulation, disallowing editors to significantly alter the works of an author residing in a sanctioned country where a substantive enhancement would provide a benefit to the sanctioned nation, including: </w:t>
      </w:r>
      <w:r w:rsidR="006E7B98" w:rsidRPr="006E7B98">
        <w:t>services related to peer review, style and copy editing, and marketing of individual articles submitted by authors from sanctioned countries that involve the substantive or artistic alteration or enhancement of informational materials, or the provision of marketing and business consulting services</w:t>
      </w:r>
      <w:r w:rsidR="005052AB">
        <w:t>.</w:t>
      </w:r>
      <w:r w:rsidR="001A7977">
        <w:t xml:space="preserve"> Please note that ORI does not engage in any of these activities.</w:t>
      </w:r>
    </w:p>
    <w:p w14:paraId="6231C2B0" w14:textId="2A06BA5F" w:rsidR="00A64B09" w:rsidRDefault="00A64B09" w:rsidP="005052AB">
      <w:pPr>
        <w:spacing w:after="0"/>
        <w:ind w:firstLine="720"/>
        <w:jc w:val="both"/>
      </w:pPr>
    </w:p>
    <w:p w14:paraId="5F289F95" w14:textId="162D25B5" w:rsidR="00A64B09" w:rsidRDefault="00A64B09" w:rsidP="005052AB">
      <w:pPr>
        <w:spacing w:after="0"/>
        <w:ind w:firstLine="720"/>
        <w:jc w:val="both"/>
      </w:pPr>
      <w:r>
        <w:t xml:space="preserve">The </w:t>
      </w:r>
      <w:r w:rsidR="00885E03">
        <w:t>Information or Informational Materials Exception</w:t>
      </w:r>
      <w:r>
        <w:t xml:space="preserve"> in its entirety for IEEPA and </w:t>
      </w:r>
      <w:r w:rsidR="00CC51AC">
        <w:t>TWEA</w:t>
      </w:r>
      <w:r>
        <w:t xml:space="preserve"> can be found </w:t>
      </w:r>
      <w:hyperlink r:id="rId19" w:history="1">
        <w:r w:rsidRPr="009942B0">
          <w:rPr>
            <w:rStyle w:val="Hyperlink"/>
          </w:rPr>
          <w:t>here</w:t>
        </w:r>
      </w:hyperlink>
      <w:r>
        <w:t xml:space="preserve"> and </w:t>
      </w:r>
      <w:hyperlink r:id="rId20" w:history="1">
        <w:r w:rsidRPr="00CC51AC">
          <w:rPr>
            <w:rStyle w:val="Hyperlink"/>
          </w:rPr>
          <w:t>here</w:t>
        </w:r>
      </w:hyperlink>
      <w:r>
        <w:t>, respectively.</w:t>
      </w:r>
    </w:p>
    <w:p w14:paraId="24FB7BA6" w14:textId="77777777" w:rsidR="00A54EC9" w:rsidRDefault="00A54EC9" w:rsidP="005052AB">
      <w:pPr>
        <w:spacing w:after="0"/>
        <w:ind w:firstLine="720"/>
        <w:jc w:val="both"/>
      </w:pPr>
    </w:p>
    <w:p w14:paraId="69F414AB" w14:textId="17FC2C62" w:rsidR="00626EB4" w:rsidRDefault="00626EB4" w:rsidP="00626EB4">
      <w:pPr>
        <w:pStyle w:val="ListParagraph"/>
        <w:numPr>
          <w:ilvl w:val="0"/>
          <w:numId w:val="19"/>
        </w:numPr>
        <w:spacing w:after="0"/>
        <w:ind w:left="1080" w:hanging="720"/>
        <w:jc w:val="both"/>
        <w:rPr>
          <w:b/>
          <w:bCs/>
        </w:rPr>
      </w:pPr>
      <w:r>
        <w:rPr>
          <w:b/>
          <w:bCs/>
        </w:rPr>
        <w:t>How does the I</w:t>
      </w:r>
      <w:r w:rsidRPr="00690DB8">
        <w:rPr>
          <w:b/>
          <w:bCs/>
        </w:rPr>
        <w:t>nformation</w:t>
      </w:r>
      <w:r w:rsidR="00844913">
        <w:rPr>
          <w:b/>
          <w:bCs/>
        </w:rPr>
        <w:t xml:space="preserve"> or Information</w:t>
      </w:r>
      <w:r w:rsidRPr="00690DB8">
        <w:rPr>
          <w:b/>
          <w:bCs/>
        </w:rPr>
        <w:t>al Materials Exception</w:t>
      </w:r>
      <w:r>
        <w:rPr>
          <w:b/>
          <w:bCs/>
        </w:rPr>
        <w:t xml:space="preserve"> Apply to O</w:t>
      </w:r>
      <w:r w:rsidR="007F0760">
        <w:rPr>
          <w:b/>
          <w:bCs/>
        </w:rPr>
        <w:t>RI</w:t>
      </w:r>
      <w:r w:rsidR="007E1617">
        <w:rPr>
          <w:b/>
          <w:bCs/>
        </w:rPr>
        <w:t>’s Data</w:t>
      </w:r>
      <w:r w:rsidR="007F0760">
        <w:rPr>
          <w:b/>
          <w:bCs/>
        </w:rPr>
        <w:t>?</w:t>
      </w:r>
    </w:p>
    <w:p w14:paraId="5D08AFD5" w14:textId="6331C026" w:rsidR="007F0760" w:rsidRPr="007F0760" w:rsidRDefault="007F0760" w:rsidP="007F0760">
      <w:pPr>
        <w:spacing w:after="0"/>
        <w:jc w:val="both"/>
      </w:pPr>
    </w:p>
    <w:p w14:paraId="06A54E7F" w14:textId="02B80B52" w:rsidR="007F0760" w:rsidRPr="007F0760" w:rsidRDefault="005E2475" w:rsidP="005E2475">
      <w:pPr>
        <w:spacing w:after="0"/>
        <w:jc w:val="both"/>
      </w:pPr>
      <w:r>
        <w:tab/>
        <w:t xml:space="preserve">ORI’s Data qualifies as </w:t>
      </w:r>
      <w:r w:rsidR="001A7977">
        <w:t>“information or informational materials”</w:t>
      </w:r>
      <w:r>
        <w:t xml:space="preserve"> pursuant to</w:t>
      </w:r>
      <w:r w:rsidR="001C731E">
        <w:t xml:space="preserve"> the</w:t>
      </w:r>
      <w:r w:rsidR="00844913">
        <w:t xml:space="preserve"> Information or</w:t>
      </w:r>
      <w:r w:rsidR="001C731E">
        <w:t xml:space="preserve"> Information</w:t>
      </w:r>
      <w:r w:rsidR="00524ACF">
        <w:t>al</w:t>
      </w:r>
      <w:r w:rsidR="001C731E">
        <w:t xml:space="preserve"> Materials Exception under</w:t>
      </w:r>
      <w:r w:rsidR="00867785">
        <w:t xml:space="preserve"> the</w:t>
      </w:r>
      <w:r>
        <w:t xml:space="preserve"> IEEPA and </w:t>
      </w:r>
      <w:r w:rsidR="00DB10AE">
        <w:t>TWEA</w:t>
      </w:r>
      <w:r>
        <w:t>. Therefore, the Data is exempt from Presidential sanctions</w:t>
      </w:r>
      <w:r w:rsidR="00524ACF">
        <w:t xml:space="preserve">, among </w:t>
      </w:r>
      <w:r>
        <w:t xml:space="preserve">other regulatory guidelines, and does not require OFAC to issue a license before the Data can be exported to </w:t>
      </w:r>
      <w:r w:rsidR="001A7977">
        <w:t>countries subject to sanctions under</w:t>
      </w:r>
      <w:r w:rsidR="00867785">
        <w:t xml:space="preserve"> the</w:t>
      </w:r>
      <w:r w:rsidR="001A7977">
        <w:t xml:space="preserve"> IEEPA</w:t>
      </w:r>
      <w:r w:rsidR="004E5335">
        <w:t xml:space="preserve"> and TWEA</w:t>
      </w:r>
      <w:r>
        <w:t xml:space="preserve">. </w:t>
      </w:r>
    </w:p>
    <w:p w14:paraId="260CA1AC" w14:textId="153F71A3" w:rsidR="00913860" w:rsidRPr="00B45EF8" w:rsidRDefault="00913860" w:rsidP="00A54EC9">
      <w:pPr>
        <w:spacing w:after="0"/>
        <w:jc w:val="both"/>
      </w:pPr>
    </w:p>
    <w:sectPr w:rsidR="00913860" w:rsidRPr="00B45EF8">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szel Thomsen" w:date="2021-09-19T10:43:00Z" w:initials="RT">
    <w:p w14:paraId="67D02A62" w14:textId="10C2340D" w:rsidR="00DB4309" w:rsidRDefault="00DB4309">
      <w:pPr>
        <w:pStyle w:val="CommentText"/>
      </w:pPr>
      <w:r>
        <w:rPr>
          <w:rStyle w:val="CommentReference"/>
        </w:rPr>
        <w:annotationRef/>
      </w:r>
      <w:r>
        <w:t>Michelle – I don’t know whether you want to make the application available.  It could generate a bunch of hostile questions which seem unnecessary.</w:t>
      </w:r>
    </w:p>
  </w:comment>
  <w:comment w:id="2" w:author="Samantha Breeze" w:date="2021-09-14T11:01:00Z" w:initials="SB">
    <w:p w14:paraId="7BD65EDB" w14:textId="03732094" w:rsidR="00217454" w:rsidRDefault="00217454">
      <w:pPr>
        <w:pStyle w:val="CommentText"/>
      </w:pPr>
      <w:r>
        <w:rPr>
          <w:rStyle w:val="CommentReference"/>
        </w:rPr>
        <w:annotationRef/>
      </w:r>
      <w:r>
        <w:t>Not in repository</w:t>
      </w:r>
    </w:p>
  </w:comment>
  <w:comment w:id="3" w:author="Roszel Thomsen" w:date="2021-09-19T10:48:00Z" w:initials="RT">
    <w:p w14:paraId="776B4C5F" w14:textId="6380EEDA" w:rsidR="00E52A50" w:rsidRDefault="00E52A50">
      <w:pPr>
        <w:pStyle w:val="CommentText"/>
      </w:pPr>
      <w:r>
        <w:rPr>
          <w:rStyle w:val="CommentReference"/>
        </w:rPr>
        <w:annotationRef/>
      </w:r>
      <w:r>
        <w:t xml:space="preserve">I don’t recommend including it. It will simply raise too </w:t>
      </w:r>
      <w:r w:rsidR="00C71FB9">
        <w:t>m</w:t>
      </w:r>
      <w:r>
        <w:t>any irrelevant questions.</w:t>
      </w:r>
    </w:p>
  </w:comment>
  <w:comment w:id="4" w:author="Samantha Breeze" w:date="2021-09-14T11:00:00Z" w:initials="SB">
    <w:p w14:paraId="0457F9AD" w14:textId="18C5EB08" w:rsidR="00217454" w:rsidRDefault="00217454">
      <w:pPr>
        <w:pStyle w:val="CommentText"/>
      </w:pPr>
      <w:r>
        <w:rPr>
          <w:rStyle w:val="CommentReference"/>
        </w:rPr>
        <w:annotationRef/>
      </w:r>
      <w:r>
        <w:t>Not in repository</w:t>
      </w:r>
    </w:p>
  </w:comment>
  <w:comment w:id="5" w:author="Roszel Thomsen" w:date="2021-09-19T10:54:00Z" w:initials="RT">
    <w:p w14:paraId="2DC9ACC8" w14:textId="752F3C13" w:rsidR="00E52A50" w:rsidRDefault="00E52A50">
      <w:pPr>
        <w:pStyle w:val="CommentText"/>
      </w:pPr>
      <w:r>
        <w:rPr>
          <w:rStyle w:val="CommentReference"/>
        </w:rPr>
        <w:annotationRef/>
      </w:r>
      <w:r>
        <w:t>I recommend leaving it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D02A62" w15:done="0"/>
  <w15:commentEx w15:paraId="7BD65EDB" w15:done="0"/>
  <w15:commentEx w15:paraId="776B4C5F" w15:paraIdParent="7BD65EDB" w15:done="0"/>
  <w15:commentEx w15:paraId="0457F9AD" w15:done="0"/>
  <w15:commentEx w15:paraId="2DC9ACC8" w15:paraIdParent="0457F9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192DD" w16cex:dateUtc="2021-09-19T14:43:00Z"/>
  <w16cex:commentExtensible w16cex:durableId="24EAFF6E" w16cex:dateUtc="2021-09-14T15:01:00Z"/>
  <w16cex:commentExtensible w16cex:durableId="24F193EF" w16cex:dateUtc="2021-09-19T14:48:00Z"/>
  <w16cex:commentExtensible w16cex:durableId="24EAFF5E" w16cex:dateUtc="2021-09-14T15:00:00Z"/>
  <w16cex:commentExtensible w16cex:durableId="24F1957B" w16cex:dateUtc="2021-09-19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02A62" w16cid:durableId="24F192DD"/>
  <w16cid:commentId w16cid:paraId="7BD65EDB" w16cid:durableId="24EAFF6E"/>
  <w16cid:commentId w16cid:paraId="776B4C5F" w16cid:durableId="24F193EF"/>
  <w16cid:commentId w16cid:paraId="0457F9AD" w16cid:durableId="24EAFF5E"/>
  <w16cid:commentId w16cid:paraId="2DC9ACC8" w16cid:durableId="24F195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79E2" w14:textId="77777777" w:rsidR="002917A6" w:rsidRDefault="002917A6" w:rsidP="002917A6">
      <w:pPr>
        <w:spacing w:after="0" w:line="240" w:lineRule="auto"/>
      </w:pPr>
      <w:r>
        <w:separator/>
      </w:r>
    </w:p>
  </w:endnote>
  <w:endnote w:type="continuationSeparator" w:id="0">
    <w:p w14:paraId="163A032B" w14:textId="77777777" w:rsidR="002917A6" w:rsidRDefault="002917A6" w:rsidP="0029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360153"/>
      <w:docPartObj>
        <w:docPartGallery w:val="Page Numbers (Bottom of Page)"/>
        <w:docPartUnique/>
      </w:docPartObj>
    </w:sdtPr>
    <w:sdtEndPr>
      <w:rPr>
        <w:noProof/>
      </w:rPr>
    </w:sdtEndPr>
    <w:sdtContent>
      <w:p w14:paraId="1AC8CD64" w14:textId="4BFF43F2" w:rsidR="002917A6" w:rsidRDefault="00291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AF774" w14:textId="77777777" w:rsidR="002917A6" w:rsidRDefault="0029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300E" w14:textId="77777777" w:rsidR="002917A6" w:rsidRDefault="002917A6" w:rsidP="002917A6">
      <w:pPr>
        <w:spacing w:after="0" w:line="240" w:lineRule="auto"/>
      </w:pPr>
      <w:r>
        <w:separator/>
      </w:r>
    </w:p>
  </w:footnote>
  <w:footnote w:type="continuationSeparator" w:id="0">
    <w:p w14:paraId="108FBD12" w14:textId="77777777" w:rsidR="002917A6" w:rsidRDefault="002917A6" w:rsidP="002917A6">
      <w:pPr>
        <w:spacing w:after="0" w:line="240" w:lineRule="auto"/>
      </w:pPr>
      <w:r>
        <w:continuationSeparator/>
      </w:r>
    </w:p>
  </w:footnote>
  <w:footnote w:id="1">
    <w:p w14:paraId="67D2B1F6" w14:textId="72EC910A" w:rsidR="00C7176A" w:rsidRDefault="00C7176A">
      <w:pPr>
        <w:pStyle w:val="FootnoteText"/>
      </w:pPr>
      <w:r>
        <w:rPr>
          <w:rStyle w:val="FootnoteReference"/>
        </w:rPr>
        <w:footnoteRef/>
      </w:r>
      <w:r>
        <w:t xml:space="preserve"> </w:t>
      </w:r>
      <w:r w:rsidR="00C71FB9">
        <w:t>Understanding that</w:t>
      </w:r>
      <w:r>
        <w:t xml:space="preserve"> an Advisory Opinion does not constitute as evidence of jurisdiction, ORI submitted the CJ request </w:t>
      </w:r>
      <w:proofErr w:type="gramStart"/>
      <w:r>
        <w:t>in order to</w:t>
      </w:r>
      <w:proofErr w:type="gramEnd"/>
      <w:r>
        <w:t xml:space="preserve"> conclusively determine that the Commerce Department was the agency with jurisdiction over its Data. </w:t>
      </w:r>
      <w:r w:rsidRPr="00C7176A">
        <w:t xml:space="preserve">See the </w:t>
      </w:r>
      <w:r>
        <w:t>Commodity Jurisdiction</w:t>
      </w:r>
      <w:r w:rsidRPr="00C7176A">
        <w:t xml:space="preserve"> </w:t>
      </w:r>
      <w:proofErr w:type="gramStart"/>
      <w:r w:rsidRPr="00C7176A">
        <w:t>discussion</w:t>
      </w:r>
      <w:proofErr w:type="gramEnd"/>
      <w:r w:rsidRPr="00C7176A">
        <w:t xml:space="preserve"> in Section </w:t>
      </w:r>
      <w:r>
        <w:t>1</w:t>
      </w:r>
      <w:r w:rsidRPr="00C7176A">
        <w:t xml:space="preserve">), </w:t>
      </w:r>
      <w:r>
        <w:t>above</w:t>
      </w:r>
      <w:r w:rsidRPr="00C7176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A9A"/>
    <w:multiLevelType w:val="hybridMultilevel"/>
    <w:tmpl w:val="BF1C2222"/>
    <w:lvl w:ilvl="0" w:tplc="990CDED4">
      <w:start w:val="1"/>
      <w:numFmt w:val="lowerLetter"/>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4BCB"/>
    <w:multiLevelType w:val="hybridMultilevel"/>
    <w:tmpl w:val="D046CD80"/>
    <w:lvl w:ilvl="0" w:tplc="1F36CF0E">
      <w:start w:val="3"/>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66F1"/>
    <w:multiLevelType w:val="hybridMultilevel"/>
    <w:tmpl w:val="7E528F50"/>
    <w:lvl w:ilvl="0" w:tplc="510CB8C8">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DCB80622">
      <w:start w:val="1"/>
      <w:numFmt w:val="decimal"/>
      <w:lvlText w:val="(%3)"/>
      <w:lvlJc w:val="left"/>
      <w:pPr>
        <w:ind w:left="1800" w:hanging="180"/>
      </w:pPr>
      <w:rPr>
        <w:rFonts w:hint="default"/>
      </w:rPr>
    </w:lvl>
    <w:lvl w:ilvl="3" w:tplc="499EC796">
      <w:start w:val="1"/>
      <w:numFmt w:val="lowerRoman"/>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80F0C"/>
    <w:multiLevelType w:val="hybridMultilevel"/>
    <w:tmpl w:val="C770A9FC"/>
    <w:lvl w:ilvl="0" w:tplc="DCB806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40574"/>
    <w:multiLevelType w:val="hybridMultilevel"/>
    <w:tmpl w:val="5E241A2A"/>
    <w:lvl w:ilvl="0" w:tplc="3E5A544C">
      <w:start w:val="1"/>
      <w:numFmt w:val="lowerLetter"/>
      <w:lvlText w:val="4.%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6849"/>
    <w:multiLevelType w:val="hybridMultilevel"/>
    <w:tmpl w:val="1066800A"/>
    <w:lvl w:ilvl="0" w:tplc="B92C59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27605"/>
    <w:multiLevelType w:val="hybridMultilevel"/>
    <w:tmpl w:val="F4A2A7EC"/>
    <w:lvl w:ilvl="0" w:tplc="D6340D8C">
      <w:start w:val="1"/>
      <w:numFmt w:val="lowerLetter"/>
      <w:lvlText w:val="4.%1)"/>
      <w:lvlJc w:val="left"/>
      <w:pPr>
        <w:ind w:left="720" w:hanging="360"/>
      </w:pPr>
      <w:rPr>
        <w:rFonts w:hint="default"/>
        <w:b w:val="0"/>
        <w:bCs w:val="0"/>
      </w:rPr>
    </w:lvl>
    <w:lvl w:ilvl="1" w:tplc="BFD87A30">
      <w:start w:val="4"/>
      <w:numFmt w:val="lowerLetter"/>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01F3"/>
    <w:multiLevelType w:val="hybridMultilevel"/>
    <w:tmpl w:val="21DA0F70"/>
    <w:lvl w:ilvl="0" w:tplc="11E01CA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8" w15:restartNumberingAfterBreak="0">
    <w:nsid w:val="1F4D0802"/>
    <w:multiLevelType w:val="hybridMultilevel"/>
    <w:tmpl w:val="C212C4AE"/>
    <w:lvl w:ilvl="0" w:tplc="5AA28AF8">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C4666"/>
    <w:multiLevelType w:val="hybridMultilevel"/>
    <w:tmpl w:val="FB4C25A6"/>
    <w:lvl w:ilvl="0" w:tplc="11E01CA8">
      <w:start w:val="1"/>
      <w:numFmt w:val="decimal"/>
      <w:lvlText w:val="%1)"/>
      <w:lvlJc w:val="left"/>
      <w:pPr>
        <w:ind w:left="720" w:hanging="360"/>
      </w:pPr>
      <w:rPr>
        <w:rFonts w:hint="default"/>
      </w:rPr>
    </w:lvl>
    <w:lvl w:ilvl="1" w:tplc="BFD87A30">
      <w:start w:val="4"/>
      <w:numFmt w:val="lowerLetter"/>
      <w:lvlText w:val="4.%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3798E"/>
    <w:multiLevelType w:val="hybridMultilevel"/>
    <w:tmpl w:val="242E6994"/>
    <w:lvl w:ilvl="0" w:tplc="1D0C9EF8">
      <w:start w:val="1"/>
      <w:numFmt w:val="lowerLetter"/>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A333D"/>
    <w:multiLevelType w:val="hybridMultilevel"/>
    <w:tmpl w:val="CCB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E6E4C"/>
    <w:multiLevelType w:val="hybridMultilevel"/>
    <w:tmpl w:val="257E950E"/>
    <w:lvl w:ilvl="0" w:tplc="1D0C9EF8">
      <w:start w:val="1"/>
      <w:numFmt w:val="lowerLetter"/>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82567"/>
    <w:multiLevelType w:val="hybridMultilevel"/>
    <w:tmpl w:val="27EC0C4C"/>
    <w:lvl w:ilvl="0" w:tplc="DCB80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EE3A65"/>
    <w:multiLevelType w:val="hybridMultilevel"/>
    <w:tmpl w:val="EAB6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11CF"/>
    <w:multiLevelType w:val="hybridMultilevel"/>
    <w:tmpl w:val="015C8ED6"/>
    <w:lvl w:ilvl="0" w:tplc="BFD87A30">
      <w:start w:val="4"/>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702B0"/>
    <w:multiLevelType w:val="hybridMultilevel"/>
    <w:tmpl w:val="6C30F0CC"/>
    <w:lvl w:ilvl="0" w:tplc="7146E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3C2034"/>
    <w:multiLevelType w:val="hybridMultilevel"/>
    <w:tmpl w:val="06D448D4"/>
    <w:lvl w:ilvl="0" w:tplc="DCB80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BE31B1"/>
    <w:multiLevelType w:val="hybridMultilevel"/>
    <w:tmpl w:val="0166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B0348"/>
    <w:multiLevelType w:val="hybridMultilevel"/>
    <w:tmpl w:val="FEFA5A62"/>
    <w:lvl w:ilvl="0" w:tplc="2A30E3F4">
      <w:start w:val="3"/>
      <w:numFmt w:val="lowerLetter"/>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3DC5611"/>
    <w:multiLevelType w:val="hybridMultilevel"/>
    <w:tmpl w:val="2F346B88"/>
    <w:lvl w:ilvl="0" w:tplc="11E01CA8">
      <w:start w:val="1"/>
      <w:numFmt w:val="decimal"/>
      <w:lvlText w:val="%1)"/>
      <w:lvlJc w:val="left"/>
      <w:pPr>
        <w:ind w:left="720" w:hanging="360"/>
      </w:pPr>
      <w:rPr>
        <w:rFonts w:hint="default"/>
      </w:rPr>
    </w:lvl>
    <w:lvl w:ilvl="1" w:tplc="B774666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C6090"/>
    <w:multiLevelType w:val="hybridMultilevel"/>
    <w:tmpl w:val="7E56458E"/>
    <w:lvl w:ilvl="0" w:tplc="B044930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36634"/>
    <w:multiLevelType w:val="hybridMultilevel"/>
    <w:tmpl w:val="4F8A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80B61"/>
    <w:multiLevelType w:val="hybridMultilevel"/>
    <w:tmpl w:val="5F62D0A8"/>
    <w:lvl w:ilvl="0" w:tplc="11E01CA8">
      <w:start w:val="1"/>
      <w:numFmt w:val="decimal"/>
      <w:lvlText w:val="%1)"/>
      <w:lvlJc w:val="left"/>
      <w:pPr>
        <w:ind w:left="720" w:hanging="360"/>
      </w:pPr>
      <w:rPr>
        <w:rFonts w:hint="default"/>
      </w:rPr>
    </w:lvl>
    <w:lvl w:ilvl="1" w:tplc="990CDED4">
      <w:start w:val="1"/>
      <w:numFmt w:val="lowerLetter"/>
      <w:lvlText w:val="3.%2) "/>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E369A"/>
    <w:multiLevelType w:val="hybridMultilevel"/>
    <w:tmpl w:val="4BFEE730"/>
    <w:lvl w:ilvl="0" w:tplc="BB089F08">
      <w:start w:val="1"/>
      <w:numFmt w:val="decimal"/>
      <w:lvlText w:val="%1)"/>
      <w:lvlJc w:val="left"/>
      <w:pPr>
        <w:ind w:left="720" w:hanging="360"/>
      </w:pPr>
      <w:rPr>
        <w:rFonts w:hint="default"/>
        <w:b/>
        <w:bCs/>
      </w:rPr>
    </w:lvl>
    <w:lvl w:ilvl="1" w:tplc="EA14CA10">
      <w:start w:val="1"/>
      <w:numFmt w:val="lowerLetter"/>
      <w:lvlText w:val="1.%2) "/>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76E6F"/>
    <w:multiLevelType w:val="hybridMultilevel"/>
    <w:tmpl w:val="CC5A1448"/>
    <w:lvl w:ilvl="0" w:tplc="11E01CA8">
      <w:start w:val="1"/>
      <w:numFmt w:val="decimal"/>
      <w:lvlText w:val="%1)"/>
      <w:lvlJc w:val="left"/>
      <w:pPr>
        <w:ind w:left="720" w:hanging="360"/>
      </w:pPr>
      <w:rPr>
        <w:rFonts w:hint="default"/>
      </w:rPr>
    </w:lvl>
    <w:lvl w:ilvl="1" w:tplc="CFC6970A">
      <w:start w:val="1"/>
      <w:numFmt w:val="lowerLetter"/>
      <w:lvlText w:val="2.%2) "/>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55F02"/>
    <w:multiLevelType w:val="hybridMultilevel"/>
    <w:tmpl w:val="5CB04274"/>
    <w:lvl w:ilvl="0" w:tplc="499EC79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B1B38FA"/>
    <w:multiLevelType w:val="hybridMultilevel"/>
    <w:tmpl w:val="10504FF6"/>
    <w:lvl w:ilvl="0" w:tplc="1D0C9EF8">
      <w:start w:val="1"/>
      <w:numFmt w:val="lowerLetter"/>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000D0"/>
    <w:multiLevelType w:val="hybridMultilevel"/>
    <w:tmpl w:val="D984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F5C60"/>
    <w:multiLevelType w:val="hybridMultilevel"/>
    <w:tmpl w:val="236E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A4308"/>
    <w:multiLevelType w:val="hybridMultilevel"/>
    <w:tmpl w:val="9BB02832"/>
    <w:lvl w:ilvl="0" w:tplc="7146E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533E26"/>
    <w:multiLevelType w:val="hybridMultilevel"/>
    <w:tmpl w:val="9D52E6CA"/>
    <w:lvl w:ilvl="0" w:tplc="CFC6970A">
      <w:start w:val="1"/>
      <w:numFmt w:val="lowerLetter"/>
      <w:lvlText w:val="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B17EA"/>
    <w:multiLevelType w:val="hybridMultilevel"/>
    <w:tmpl w:val="6640211A"/>
    <w:lvl w:ilvl="0" w:tplc="11E01CA8">
      <w:start w:val="1"/>
      <w:numFmt w:val="decimal"/>
      <w:lvlText w:val="%1)"/>
      <w:lvlJc w:val="left"/>
      <w:pPr>
        <w:ind w:left="720" w:hanging="360"/>
      </w:pPr>
      <w:rPr>
        <w:rFonts w:hint="default"/>
      </w:rPr>
    </w:lvl>
    <w:lvl w:ilvl="1" w:tplc="1D0C9EF8">
      <w:start w:val="1"/>
      <w:numFmt w:val="lowerLetter"/>
      <w:lvlText w:val="1.%2) "/>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10D3E"/>
    <w:multiLevelType w:val="hybridMultilevel"/>
    <w:tmpl w:val="4CB068E4"/>
    <w:lvl w:ilvl="0" w:tplc="BD38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8"/>
  </w:num>
  <w:num w:numId="4">
    <w:abstractNumId w:val="2"/>
  </w:num>
  <w:num w:numId="5">
    <w:abstractNumId w:val="33"/>
  </w:num>
  <w:num w:numId="6">
    <w:abstractNumId w:val="17"/>
  </w:num>
  <w:num w:numId="7">
    <w:abstractNumId w:val="26"/>
  </w:num>
  <w:num w:numId="8">
    <w:abstractNumId w:val="24"/>
  </w:num>
  <w:num w:numId="9">
    <w:abstractNumId w:val="12"/>
  </w:num>
  <w:num w:numId="10">
    <w:abstractNumId w:val="10"/>
  </w:num>
  <w:num w:numId="11">
    <w:abstractNumId w:val="27"/>
  </w:num>
  <w:num w:numId="12">
    <w:abstractNumId w:val="31"/>
  </w:num>
  <w:num w:numId="13">
    <w:abstractNumId w:val="0"/>
  </w:num>
  <w:num w:numId="14">
    <w:abstractNumId w:val="22"/>
  </w:num>
  <w:num w:numId="15">
    <w:abstractNumId w:val="20"/>
  </w:num>
  <w:num w:numId="16">
    <w:abstractNumId w:val="29"/>
  </w:num>
  <w:num w:numId="17">
    <w:abstractNumId w:val="28"/>
  </w:num>
  <w:num w:numId="18">
    <w:abstractNumId w:val="7"/>
  </w:num>
  <w:num w:numId="19">
    <w:abstractNumId w:val="4"/>
  </w:num>
  <w:num w:numId="20">
    <w:abstractNumId w:val="5"/>
  </w:num>
  <w:num w:numId="21">
    <w:abstractNumId w:val="32"/>
  </w:num>
  <w:num w:numId="22">
    <w:abstractNumId w:val="25"/>
  </w:num>
  <w:num w:numId="23">
    <w:abstractNumId w:val="23"/>
  </w:num>
  <w:num w:numId="24">
    <w:abstractNumId w:val="9"/>
  </w:num>
  <w:num w:numId="25">
    <w:abstractNumId w:val="6"/>
  </w:num>
  <w:num w:numId="26">
    <w:abstractNumId w:val="15"/>
  </w:num>
  <w:num w:numId="27">
    <w:abstractNumId w:val="21"/>
  </w:num>
  <w:num w:numId="28">
    <w:abstractNumId w:val="8"/>
  </w:num>
  <w:num w:numId="29">
    <w:abstractNumId w:val="30"/>
  </w:num>
  <w:num w:numId="30">
    <w:abstractNumId w:val="13"/>
  </w:num>
  <w:num w:numId="31">
    <w:abstractNumId w:val="1"/>
  </w:num>
  <w:num w:numId="32">
    <w:abstractNumId w:val="16"/>
  </w:num>
  <w:num w:numId="33">
    <w:abstractNumId w:val="19"/>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zel Thomsen">
    <w15:presenceInfo w15:providerId="AD" w15:userId="S::Roz@t-b.com::fe41e8bc-4e40-41b7-a148-1fca0e510b59"/>
  </w15:person>
  <w15:person w15:author="Samantha Breeze">
    <w15:presenceInfo w15:providerId="None" w15:userId="Samantha Bree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59"/>
    <w:rsid w:val="00000A29"/>
    <w:rsid w:val="00013638"/>
    <w:rsid w:val="000555F3"/>
    <w:rsid w:val="00077F66"/>
    <w:rsid w:val="000C2247"/>
    <w:rsid w:val="000E19D6"/>
    <w:rsid w:val="000F0D6B"/>
    <w:rsid w:val="001319FE"/>
    <w:rsid w:val="0014464F"/>
    <w:rsid w:val="001476E9"/>
    <w:rsid w:val="00181837"/>
    <w:rsid w:val="00184AD9"/>
    <w:rsid w:val="00192059"/>
    <w:rsid w:val="001A7977"/>
    <w:rsid w:val="001C25DA"/>
    <w:rsid w:val="001C4647"/>
    <w:rsid w:val="001C731E"/>
    <w:rsid w:val="001D3FB7"/>
    <w:rsid w:val="001E3F43"/>
    <w:rsid w:val="001E40DE"/>
    <w:rsid w:val="00211C5C"/>
    <w:rsid w:val="00217454"/>
    <w:rsid w:val="0023103C"/>
    <w:rsid w:val="00231543"/>
    <w:rsid w:val="00245B32"/>
    <w:rsid w:val="00254B92"/>
    <w:rsid w:val="00270F85"/>
    <w:rsid w:val="00273CD4"/>
    <w:rsid w:val="002917A6"/>
    <w:rsid w:val="00291F68"/>
    <w:rsid w:val="002B0D2A"/>
    <w:rsid w:val="002C764E"/>
    <w:rsid w:val="002D28A2"/>
    <w:rsid w:val="002E3931"/>
    <w:rsid w:val="002E7932"/>
    <w:rsid w:val="002E7D4A"/>
    <w:rsid w:val="002F0808"/>
    <w:rsid w:val="002F423A"/>
    <w:rsid w:val="003003C5"/>
    <w:rsid w:val="003119C6"/>
    <w:rsid w:val="00311A4B"/>
    <w:rsid w:val="0031236D"/>
    <w:rsid w:val="00314B30"/>
    <w:rsid w:val="003442E7"/>
    <w:rsid w:val="00350A29"/>
    <w:rsid w:val="003573ED"/>
    <w:rsid w:val="003A0191"/>
    <w:rsid w:val="003B3234"/>
    <w:rsid w:val="003C767B"/>
    <w:rsid w:val="003D7C61"/>
    <w:rsid w:val="003E67F9"/>
    <w:rsid w:val="003F56D2"/>
    <w:rsid w:val="003F78BD"/>
    <w:rsid w:val="00406251"/>
    <w:rsid w:val="00413991"/>
    <w:rsid w:val="00443062"/>
    <w:rsid w:val="00454299"/>
    <w:rsid w:val="00474344"/>
    <w:rsid w:val="004E5335"/>
    <w:rsid w:val="005052AB"/>
    <w:rsid w:val="00507039"/>
    <w:rsid w:val="00513CD2"/>
    <w:rsid w:val="00524ACF"/>
    <w:rsid w:val="0053009A"/>
    <w:rsid w:val="00530CB8"/>
    <w:rsid w:val="00536BA3"/>
    <w:rsid w:val="00557C94"/>
    <w:rsid w:val="005717CA"/>
    <w:rsid w:val="0057251D"/>
    <w:rsid w:val="005738F6"/>
    <w:rsid w:val="0058143F"/>
    <w:rsid w:val="005913BD"/>
    <w:rsid w:val="00591662"/>
    <w:rsid w:val="005A3070"/>
    <w:rsid w:val="005B3136"/>
    <w:rsid w:val="005B718A"/>
    <w:rsid w:val="005D4798"/>
    <w:rsid w:val="005D54A5"/>
    <w:rsid w:val="005E2475"/>
    <w:rsid w:val="006032F5"/>
    <w:rsid w:val="00610162"/>
    <w:rsid w:val="00610258"/>
    <w:rsid w:val="00623FE7"/>
    <w:rsid w:val="00626EB4"/>
    <w:rsid w:val="00627DB7"/>
    <w:rsid w:val="006303CA"/>
    <w:rsid w:val="006571C1"/>
    <w:rsid w:val="00690DB8"/>
    <w:rsid w:val="006975E9"/>
    <w:rsid w:val="006A2D28"/>
    <w:rsid w:val="006B4709"/>
    <w:rsid w:val="006C655F"/>
    <w:rsid w:val="006E2CDA"/>
    <w:rsid w:val="006E7B98"/>
    <w:rsid w:val="006F5374"/>
    <w:rsid w:val="006F57A6"/>
    <w:rsid w:val="00724611"/>
    <w:rsid w:val="00726B32"/>
    <w:rsid w:val="00735021"/>
    <w:rsid w:val="00744BCE"/>
    <w:rsid w:val="00762236"/>
    <w:rsid w:val="00765B0F"/>
    <w:rsid w:val="007705BE"/>
    <w:rsid w:val="007B1E28"/>
    <w:rsid w:val="007C014C"/>
    <w:rsid w:val="007D7033"/>
    <w:rsid w:val="007E1617"/>
    <w:rsid w:val="007F0760"/>
    <w:rsid w:val="007F0C35"/>
    <w:rsid w:val="007F7AD1"/>
    <w:rsid w:val="007F7D3A"/>
    <w:rsid w:val="00823DE1"/>
    <w:rsid w:val="008422FE"/>
    <w:rsid w:val="00842850"/>
    <w:rsid w:val="00844913"/>
    <w:rsid w:val="00867785"/>
    <w:rsid w:val="00885E03"/>
    <w:rsid w:val="0088698E"/>
    <w:rsid w:val="00894C9B"/>
    <w:rsid w:val="008E1A89"/>
    <w:rsid w:val="008E72DF"/>
    <w:rsid w:val="008E7483"/>
    <w:rsid w:val="00904DB2"/>
    <w:rsid w:val="0091024D"/>
    <w:rsid w:val="009122AD"/>
    <w:rsid w:val="00913860"/>
    <w:rsid w:val="0092739E"/>
    <w:rsid w:val="00934854"/>
    <w:rsid w:val="00946AD1"/>
    <w:rsid w:val="00947B37"/>
    <w:rsid w:val="009942B0"/>
    <w:rsid w:val="009A453F"/>
    <w:rsid w:val="009B68CD"/>
    <w:rsid w:val="009C54CC"/>
    <w:rsid w:val="009E55F8"/>
    <w:rsid w:val="009F59BC"/>
    <w:rsid w:val="00A44345"/>
    <w:rsid w:val="00A54EC9"/>
    <w:rsid w:val="00A64B09"/>
    <w:rsid w:val="00A72363"/>
    <w:rsid w:val="00A8552A"/>
    <w:rsid w:val="00A868AA"/>
    <w:rsid w:val="00A93A81"/>
    <w:rsid w:val="00AA6161"/>
    <w:rsid w:val="00AC7FB7"/>
    <w:rsid w:val="00AD3246"/>
    <w:rsid w:val="00AD506B"/>
    <w:rsid w:val="00AE409A"/>
    <w:rsid w:val="00AE44CF"/>
    <w:rsid w:val="00AE58A5"/>
    <w:rsid w:val="00AE7BB8"/>
    <w:rsid w:val="00AF2FCD"/>
    <w:rsid w:val="00AF53AE"/>
    <w:rsid w:val="00B00015"/>
    <w:rsid w:val="00B103EA"/>
    <w:rsid w:val="00B42147"/>
    <w:rsid w:val="00B45EF8"/>
    <w:rsid w:val="00B47917"/>
    <w:rsid w:val="00B55BE7"/>
    <w:rsid w:val="00B654EA"/>
    <w:rsid w:val="00B6777C"/>
    <w:rsid w:val="00B72A35"/>
    <w:rsid w:val="00BE6A32"/>
    <w:rsid w:val="00BF3BC1"/>
    <w:rsid w:val="00C03D12"/>
    <w:rsid w:val="00C04E32"/>
    <w:rsid w:val="00C104BB"/>
    <w:rsid w:val="00C16838"/>
    <w:rsid w:val="00C20915"/>
    <w:rsid w:val="00C33AF7"/>
    <w:rsid w:val="00C419FC"/>
    <w:rsid w:val="00C45BC8"/>
    <w:rsid w:val="00C4621F"/>
    <w:rsid w:val="00C466CE"/>
    <w:rsid w:val="00C5116F"/>
    <w:rsid w:val="00C7176A"/>
    <w:rsid w:val="00C71B20"/>
    <w:rsid w:val="00C71FB9"/>
    <w:rsid w:val="00C7669B"/>
    <w:rsid w:val="00C8718A"/>
    <w:rsid w:val="00C956A3"/>
    <w:rsid w:val="00C96EF7"/>
    <w:rsid w:val="00CA65E5"/>
    <w:rsid w:val="00CB56A0"/>
    <w:rsid w:val="00CC51AC"/>
    <w:rsid w:val="00CC6FE7"/>
    <w:rsid w:val="00CE2D46"/>
    <w:rsid w:val="00CE4FD3"/>
    <w:rsid w:val="00D334E7"/>
    <w:rsid w:val="00D349B5"/>
    <w:rsid w:val="00D42967"/>
    <w:rsid w:val="00D55424"/>
    <w:rsid w:val="00D606C9"/>
    <w:rsid w:val="00D67E9E"/>
    <w:rsid w:val="00D76B1D"/>
    <w:rsid w:val="00D92EF7"/>
    <w:rsid w:val="00DB10AE"/>
    <w:rsid w:val="00DB4309"/>
    <w:rsid w:val="00DC0E91"/>
    <w:rsid w:val="00DC4353"/>
    <w:rsid w:val="00E27A79"/>
    <w:rsid w:val="00E304D7"/>
    <w:rsid w:val="00E52A50"/>
    <w:rsid w:val="00E77BF7"/>
    <w:rsid w:val="00E80C03"/>
    <w:rsid w:val="00E87E79"/>
    <w:rsid w:val="00EE60B9"/>
    <w:rsid w:val="00EE7781"/>
    <w:rsid w:val="00EF72D5"/>
    <w:rsid w:val="00F17A93"/>
    <w:rsid w:val="00F46F4B"/>
    <w:rsid w:val="00F54468"/>
    <w:rsid w:val="00F55FB8"/>
    <w:rsid w:val="00F61B70"/>
    <w:rsid w:val="00F76BE8"/>
    <w:rsid w:val="00F9120D"/>
    <w:rsid w:val="00FC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E458"/>
  <w15:chartTrackingRefBased/>
  <w15:docId w15:val="{26ECA770-1F14-4308-BA61-4C8D89F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1"/>
    <w:pPr>
      <w:ind w:left="720"/>
      <w:contextualSpacing/>
    </w:pPr>
  </w:style>
  <w:style w:type="paragraph" w:styleId="Header">
    <w:name w:val="header"/>
    <w:basedOn w:val="Normal"/>
    <w:link w:val="HeaderChar"/>
    <w:uiPriority w:val="99"/>
    <w:unhideWhenUsed/>
    <w:rsid w:val="0029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A6"/>
  </w:style>
  <w:style w:type="paragraph" w:styleId="Footer">
    <w:name w:val="footer"/>
    <w:basedOn w:val="Normal"/>
    <w:link w:val="FooterChar"/>
    <w:uiPriority w:val="99"/>
    <w:unhideWhenUsed/>
    <w:rsid w:val="0029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A6"/>
  </w:style>
  <w:style w:type="character" w:styleId="CommentReference">
    <w:name w:val="annotation reference"/>
    <w:basedOn w:val="DefaultParagraphFont"/>
    <w:uiPriority w:val="99"/>
    <w:semiHidden/>
    <w:unhideWhenUsed/>
    <w:rsid w:val="00231543"/>
    <w:rPr>
      <w:sz w:val="16"/>
      <w:szCs w:val="16"/>
    </w:rPr>
  </w:style>
  <w:style w:type="paragraph" w:styleId="CommentText">
    <w:name w:val="annotation text"/>
    <w:basedOn w:val="Normal"/>
    <w:link w:val="CommentTextChar"/>
    <w:uiPriority w:val="99"/>
    <w:semiHidden/>
    <w:unhideWhenUsed/>
    <w:rsid w:val="00231543"/>
    <w:pPr>
      <w:spacing w:line="240" w:lineRule="auto"/>
    </w:pPr>
    <w:rPr>
      <w:sz w:val="20"/>
      <w:szCs w:val="20"/>
    </w:rPr>
  </w:style>
  <w:style w:type="character" w:customStyle="1" w:styleId="CommentTextChar">
    <w:name w:val="Comment Text Char"/>
    <w:basedOn w:val="DefaultParagraphFont"/>
    <w:link w:val="CommentText"/>
    <w:uiPriority w:val="99"/>
    <w:semiHidden/>
    <w:rsid w:val="00231543"/>
    <w:rPr>
      <w:sz w:val="20"/>
      <w:szCs w:val="20"/>
    </w:rPr>
  </w:style>
  <w:style w:type="paragraph" w:styleId="CommentSubject">
    <w:name w:val="annotation subject"/>
    <w:basedOn w:val="CommentText"/>
    <w:next w:val="CommentText"/>
    <w:link w:val="CommentSubjectChar"/>
    <w:uiPriority w:val="99"/>
    <w:semiHidden/>
    <w:unhideWhenUsed/>
    <w:rsid w:val="00231543"/>
    <w:rPr>
      <w:b/>
      <w:bCs/>
    </w:rPr>
  </w:style>
  <w:style w:type="character" w:customStyle="1" w:styleId="CommentSubjectChar">
    <w:name w:val="Comment Subject Char"/>
    <w:basedOn w:val="CommentTextChar"/>
    <w:link w:val="CommentSubject"/>
    <w:uiPriority w:val="99"/>
    <w:semiHidden/>
    <w:rsid w:val="00231543"/>
    <w:rPr>
      <w:b/>
      <w:bCs/>
      <w:sz w:val="20"/>
      <w:szCs w:val="20"/>
    </w:rPr>
  </w:style>
  <w:style w:type="character" w:styleId="Hyperlink">
    <w:name w:val="Hyperlink"/>
    <w:basedOn w:val="DefaultParagraphFont"/>
    <w:uiPriority w:val="99"/>
    <w:unhideWhenUsed/>
    <w:rsid w:val="00B45EF8"/>
    <w:rPr>
      <w:color w:val="0563C1" w:themeColor="hyperlink"/>
      <w:u w:val="single"/>
    </w:rPr>
  </w:style>
  <w:style w:type="character" w:styleId="UnresolvedMention">
    <w:name w:val="Unresolved Mention"/>
    <w:basedOn w:val="DefaultParagraphFont"/>
    <w:uiPriority w:val="99"/>
    <w:semiHidden/>
    <w:unhideWhenUsed/>
    <w:rsid w:val="00B45EF8"/>
    <w:rPr>
      <w:color w:val="605E5C"/>
      <w:shd w:val="clear" w:color="auto" w:fill="E1DFDD"/>
    </w:rPr>
  </w:style>
  <w:style w:type="character" w:customStyle="1" w:styleId="Heading1Char">
    <w:name w:val="Heading 1 Char"/>
    <w:basedOn w:val="DefaultParagraphFont"/>
    <w:link w:val="Heading1"/>
    <w:uiPriority w:val="9"/>
    <w:rsid w:val="001E3F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F43"/>
    <w:pPr>
      <w:outlineLvl w:val="9"/>
    </w:pPr>
  </w:style>
  <w:style w:type="character" w:styleId="FollowedHyperlink">
    <w:name w:val="FollowedHyperlink"/>
    <w:basedOn w:val="DefaultParagraphFont"/>
    <w:uiPriority w:val="99"/>
    <w:semiHidden/>
    <w:unhideWhenUsed/>
    <w:rsid w:val="00474344"/>
    <w:rPr>
      <w:color w:val="954F72" w:themeColor="followedHyperlink"/>
      <w:u w:val="single"/>
    </w:rPr>
  </w:style>
  <w:style w:type="paragraph" w:styleId="FootnoteText">
    <w:name w:val="footnote text"/>
    <w:basedOn w:val="Normal"/>
    <w:link w:val="FootnoteTextChar"/>
    <w:uiPriority w:val="99"/>
    <w:semiHidden/>
    <w:unhideWhenUsed/>
    <w:rsid w:val="00C71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76A"/>
    <w:rPr>
      <w:sz w:val="20"/>
      <w:szCs w:val="20"/>
    </w:rPr>
  </w:style>
  <w:style w:type="character" w:styleId="FootnoteReference">
    <w:name w:val="footnote reference"/>
    <w:basedOn w:val="DefaultParagraphFont"/>
    <w:uiPriority w:val="99"/>
    <w:semiHidden/>
    <w:unhideWhenUsed/>
    <w:rsid w:val="00C71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1875">
      <w:bodyDiv w:val="1"/>
      <w:marLeft w:val="0"/>
      <w:marRight w:val="0"/>
      <w:marTop w:val="0"/>
      <w:marBottom w:val="0"/>
      <w:divBdr>
        <w:top w:val="none" w:sz="0" w:space="0" w:color="auto"/>
        <w:left w:val="none" w:sz="0" w:space="0" w:color="auto"/>
        <w:bottom w:val="none" w:sz="0" w:space="0" w:color="auto"/>
        <w:right w:val="none" w:sz="0" w:space="0" w:color="auto"/>
      </w:divBdr>
    </w:div>
    <w:div w:id="460731493">
      <w:bodyDiv w:val="1"/>
      <w:marLeft w:val="0"/>
      <w:marRight w:val="0"/>
      <w:marTop w:val="0"/>
      <w:marBottom w:val="0"/>
      <w:divBdr>
        <w:top w:val="none" w:sz="0" w:space="0" w:color="auto"/>
        <w:left w:val="none" w:sz="0" w:space="0" w:color="auto"/>
        <w:bottom w:val="none" w:sz="0" w:space="0" w:color="auto"/>
        <w:right w:val="none" w:sz="0" w:space="0" w:color="auto"/>
      </w:divBdr>
      <w:divsChild>
        <w:div w:id="708149102">
          <w:marLeft w:val="0"/>
          <w:marRight w:val="0"/>
          <w:marTop w:val="0"/>
          <w:marBottom w:val="0"/>
          <w:divBdr>
            <w:top w:val="none" w:sz="0" w:space="0" w:color="auto"/>
            <w:left w:val="none" w:sz="0" w:space="0" w:color="auto"/>
            <w:bottom w:val="none" w:sz="0" w:space="0" w:color="auto"/>
            <w:right w:val="none" w:sz="0" w:space="0" w:color="auto"/>
          </w:divBdr>
        </w:div>
        <w:div w:id="1107852564">
          <w:marLeft w:val="0"/>
          <w:marRight w:val="0"/>
          <w:marTop w:val="0"/>
          <w:marBottom w:val="0"/>
          <w:divBdr>
            <w:top w:val="none" w:sz="0" w:space="0" w:color="auto"/>
            <w:left w:val="none" w:sz="0" w:space="0" w:color="auto"/>
            <w:bottom w:val="none" w:sz="0" w:space="0" w:color="auto"/>
            <w:right w:val="none" w:sz="0" w:space="0" w:color="auto"/>
          </w:divBdr>
        </w:div>
      </w:divsChild>
    </w:div>
    <w:div w:id="789930916">
      <w:bodyDiv w:val="1"/>
      <w:marLeft w:val="0"/>
      <w:marRight w:val="0"/>
      <w:marTop w:val="0"/>
      <w:marBottom w:val="0"/>
      <w:divBdr>
        <w:top w:val="none" w:sz="0" w:space="0" w:color="auto"/>
        <w:left w:val="none" w:sz="0" w:space="0" w:color="auto"/>
        <w:bottom w:val="none" w:sz="0" w:space="0" w:color="auto"/>
        <w:right w:val="none" w:sz="0" w:space="0" w:color="auto"/>
      </w:divBdr>
      <w:divsChild>
        <w:div w:id="28384623">
          <w:marLeft w:val="0"/>
          <w:marRight w:val="0"/>
          <w:marTop w:val="0"/>
          <w:marBottom w:val="0"/>
          <w:divBdr>
            <w:top w:val="none" w:sz="0" w:space="0" w:color="auto"/>
            <w:left w:val="none" w:sz="0" w:space="0" w:color="auto"/>
            <w:bottom w:val="none" w:sz="0" w:space="0" w:color="auto"/>
            <w:right w:val="none" w:sz="0" w:space="0" w:color="auto"/>
          </w:divBdr>
        </w:div>
      </w:divsChild>
    </w:div>
    <w:div w:id="813303249">
      <w:bodyDiv w:val="1"/>
      <w:marLeft w:val="0"/>
      <w:marRight w:val="0"/>
      <w:marTop w:val="0"/>
      <w:marBottom w:val="0"/>
      <w:divBdr>
        <w:top w:val="none" w:sz="0" w:space="0" w:color="auto"/>
        <w:left w:val="none" w:sz="0" w:space="0" w:color="auto"/>
        <w:bottom w:val="none" w:sz="0" w:space="0" w:color="auto"/>
        <w:right w:val="none" w:sz="0" w:space="0" w:color="auto"/>
      </w:divBdr>
      <w:divsChild>
        <w:div w:id="1727222854">
          <w:marLeft w:val="0"/>
          <w:marRight w:val="0"/>
          <w:marTop w:val="0"/>
          <w:marBottom w:val="0"/>
          <w:divBdr>
            <w:top w:val="none" w:sz="0" w:space="0" w:color="auto"/>
            <w:left w:val="none" w:sz="0" w:space="0" w:color="auto"/>
            <w:bottom w:val="none" w:sz="0" w:space="0" w:color="auto"/>
            <w:right w:val="none" w:sz="0" w:space="0" w:color="auto"/>
          </w:divBdr>
        </w:div>
      </w:divsChild>
    </w:div>
    <w:div w:id="1237399683">
      <w:bodyDiv w:val="1"/>
      <w:marLeft w:val="0"/>
      <w:marRight w:val="0"/>
      <w:marTop w:val="0"/>
      <w:marBottom w:val="0"/>
      <w:divBdr>
        <w:top w:val="none" w:sz="0" w:space="0" w:color="auto"/>
        <w:left w:val="none" w:sz="0" w:space="0" w:color="auto"/>
        <w:bottom w:val="none" w:sz="0" w:space="0" w:color="auto"/>
        <w:right w:val="none" w:sz="0" w:space="0" w:color="auto"/>
      </w:divBdr>
    </w:div>
    <w:div w:id="1484200713">
      <w:bodyDiv w:val="1"/>
      <w:marLeft w:val="0"/>
      <w:marRight w:val="0"/>
      <w:marTop w:val="0"/>
      <w:marBottom w:val="0"/>
      <w:divBdr>
        <w:top w:val="none" w:sz="0" w:space="0" w:color="auto"/>
        <w:left w:val="none" w:sz="0" w:space="0" w:color="auto"/>
        <w:bottom w:val="none" w:sz="0" w:space="0" w:color="auto"/>
        <w:right w:val="none" w:sz="0" w:space="0" w:color="auto"/>
      </w:divBdr>
      <w:divsChild>
        <w:div w:id="62072319">
          <w:marLeft w:val="0"/>
          <w:marRight w:val="0"/>
          <w:marTop w:val="0"/>
          <w:marBottom w:val="0"/>
          <w:divBdr>
            <w:top w:val="none" w:sz="0" w:space="0" w:color="auto"/>
            <w:left w:val="none" w:sz="0" w:space="0" w:color="auto"/>
            <w:bottom w:val="none" w:sz="0" w:space="0" w:color="auto"/>
            <w:right w:val="none" w:sz="0" w:space="0" w:color="auto"/>
          </w:divBdr>
        </w:div>
        <w:div w:id="1106268945">
          <w:marLeft w:val="0"/>
          <w:marRight w:val="0"/>
          <w:marTop w:val="0"/>
          <w:marBottom w:val="0"/>
          <w:divBdr>
            <w:top w:val="none" w:sz="0" w:space="0" w:color="auto"/>
            <w:left w:val="none" w:sz="0" w:space="0" w:color="auto"/>
            <w:bottom w:val="none" w:sz="0" w:space="0" w:color="auto"/>
            <w:right w:val="none" w:sz="0" w:space="0" w:color="auto"/>
          </w:divBdr>
        </w:div>
      </w:divsChild>
    </w:div>
    <w:div w:id="1789660335">
      <w:bodyDiv w:val="1"/>
      <w:marLeft w:val="0"/>
      <w:marRight w:val="0"/>
      <w:marTop w:val="0"/>
      <w:marBottom w:val="0"/>
      <w:divBdr>
        <w:top w:val="none" w:sz="0" w:space="0" w:color="auto"/>
        <w:left w:val="none" w:sz="0" w:space="0" w:color="auto"/>
        <w:bottom w:val="none" w:sz="0" w:space="0" w:color="auto"/>
        <w:right w:val="none" w:sz="0" w:space="0" w:color="auto"/>
      </w:divBdr>
    </w:div>
    <w:div w:id="1927687546">
      <w:bodyDiv w:val="1"/>
      <w:marLeft w:val="0"/>
      <w:marRight w:val="0"/>
      <w:marTop w:val="0"/>
      <w:marBottom w:val="0"/>
      <w:divBdr>
        <w:top w:val="none" w:sz="0" w:space="0" w:color="auto"/>
        <w:left w:val="none" w:sz="0" w:space="0" w:color="auto"/>
        <w:bottom w:val="none" w:sz="0" w:space="0" w:color="auto"/>
        <w:right w:val="none" w:sz="0" w:space="0" w:color="auto"/>
      </w:divBdr>
    </w:div>
    <w:div w:id="2017421010">
      <w:bodyDiv w:val="1"/>
      <w:marLeft w:val="0"/>
      <w:marRight w:val="0"/>
      <w:marTop w:val="0"/>
      <w:marBottom w:val="0"/>
      <w:divBdr>
        <w:top w:val="none" w:sz="0" w:space="0" w:color="auto"/>
        <w:left w:val="none" w:sz="0" w:space="0" w:color="auto"/>
        <w:bottom w:val="none" w:sz="0" w:space="0" w:color="auto"/>
        <w:right w:val="none" w:sz="0" w:space="0" w:color="auto"/>
      </w:divBdr>
    </w:div>
    <w:div w:id="21463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phase4ground/documents/blob/master/Regulatory/ITAR_EAR/Final%20CJ%20Cover%20Letter.pdf" TargetMode="External"/><Relationship Id="rId13" Type="http://schemas.microsoft.com/office/2018/08/relationships/commentsExtensible" Target="commentsExtensible.xml"/><Relationship Id="rId18" Type="http://schemas.openxmlformats.org/officeDocument/2006/relationships/hyperlink" Target="https://home.treasury.gov/system/files/126/guidance_on_certain_publishing_activiti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github.com/phase4ground/documents/blob/master/Regulatory/ITAR_EAR/ORI%20CCR%20Closing%20Memo%20January%2028%202021.pdf" TargetMode="External"/><Relationship Id="rId2" Type="http://schemas.openxmlformats.org/officeDocument/2006/relationships/numbering" Target="numbering.xml"/><Relationship Id="rId16" Type="http://schemas.openxmlformats.org/officeDocument/2006/relationships/hyperlink" Target="https://github.com/phase4ground/documents/blob/master/Regulatory/ITAR_EAR/BIS%20Advisory%20Response%20-%20ORI.pdf" TargetMode="External"/><Relationship Id="rId20" Type="http://schemas.openxmlformats.org/officeDocument/2006/relationships/hyperlink" Target="https://home.treasury.gov/system/files/126/twe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phase4ground/documents/blob/master/Regulatory/ITAR_EAR/G185407.pdf"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uscode.house.gov/view.xhtml?req=(title:50%20section:1702%20edition:prelim)" TargetMode="External"/><Relationship Id="rId4" Type="http://schemas.openxmlformats.org/officeDocument/2006/relationships/settings" Target="settings.xml"/><Relationship Id="rId9" Type="http://schemas.openxmlformats.org/officeDocument/2006/relationships/hyperlink" Target="https://github.com/phase4ground/documents/blob/master/Regulatory/ITAR_EAR/CJ0003120%20as%20submitted%20on%20February%2020%202020.pdf" TargetMode="External"/><Relationship Id="rId14" Type="http://schemas.openxmlformats.org/officeDocument/2006/relationships/hyperlink" Target="https://github.com/phase4ground/documents/blob/master/Regulatory/ITAR_EAR/CJ%200003120%20Final%20Determination%20Lette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817D-52C6-4EE7-86BD-246D83EB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2897</Words>
  <Characters>16517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Breeze</dc:creator>
  <cp:keywords/>
  <dc:description/>
  <cp:lastModifiedBy>Roszel Thomsen</cp:lastModifiedBy>
  <cp:revision>2</cp:revision>
  <dcterms:created xsi:type="dcterms:W3CDTF">2021-09-22T17:58:00Z</dcterms:created>
  <dcterms:modified xsi:type="dcterms:W3CDTF">2021-09-22T17:58:00Z</dcterms:modified>
</cp:coreProperties>
</file>